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Мониторинг изменений законодательства Российской Федерации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сфере образования по состоянию на 01 июля 2024 года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Times New Roman"/>
          <w:i/>
          <w:sz w:val="28"/>
          <w:szCs w:val="28"/>
        </w:rPr>
      </w:pPr>
      <w:r>
        <w:rPr>
          <w:rFonts w:ascii="Times New Roman" w:hAnsi="Times New Roman" w:eastAsia="Times New Roman"/>
          <w:i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общеобразовательная организация</w:t>
      </w:r>
      <w:r>
        <w:rPr>
          <w:rFonts w:ascii="Times New Roman" w:hAnsi="Times New Roman" w:eastAsia="Times New Roman"/>
          <w:i/>
          <w:sz w:val="28"/>
          <w:szCs w:val="28"/>
        </w:rPr>
        <w:t xml:space="preserve">)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Раздел 1. Нормативно – правовые акты.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b/>
          <w:sz w:val="16"/>
          <w:szCs w:val="28"/>
        </w:rPr>
      </w:pPr>
      <w:r>
        <w:rPr>
          <w:rFonts w:ascii="Times New Roman" w:hAnsi="Times New Roman" w:eastAsia="Times New Roman"/>
          <w:b/>
          <w:sz w:val="16"/>
          <w:szCs w:val="28"/>
        </w:rPr>
      </w:r>
      <w:r/>
    </w:p>
    <w:tbl>
      <w:tblPr>
        <w:tblW w:w="15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827"/>
        <w:gridCol w:w="10916"/>
      </w:tblGrid>
      <w:tr>
        <w:trPr>
          <w:trHeight w:val="130"/>
          <w:tblHeader/>
        </w:trPr>
        <w:tc>
          <w:tcPr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left" w:pos="1026" w:leader="none"/>
              </w:tabs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№</w:t>
            </w:r>
            <w:r/>
          </w:p>
          <w:p>
            <w:pPr>
              <w:contextualSpacing/>
              <w:jc w:val="center"/>
              <w:spacing w:after="0" w:line="240" w:lineRule="auto"/>
              <w:tabs>
                <w:tab w:val="left" w:pos="1026" w:leader="none"/>
              </w:tabs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п/п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Название и реквизиты НПА</w:t>
            </w:r>
            <w:r/>
          </w:p>
        </w:tc>
        <w:tc>
          <w:tcPr>
            <w:tcW w:w="1091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Краткое содержание НПА</w:t>
            </w:r>
            <w:r/>
          </w:p>
        </w:tc>
      </w:tr>
      <w:tr>
        <w:trPr>
          <w:trHeight w:val="276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0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Федеральный закон от 22.06.2024 № 159-ФЗ «О внесении изменения в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статью 86 Федерального закона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91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Уточнены особенности организации и осуществления образовательной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деятельности в кадетских школах и корпусах.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Закреплено,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что порядок организации и осуществления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в федеральных государственных образовательных организациях со специальными наименованиями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«кадетская школа», «кадетский (морской кадетский) корпус», «казачий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eastAsia="Arial" w:cs="Times New Roman"/>
                <w:color w:val="1a1a1a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кадетский корпус» и приема в них устанавливают федеральные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государственные органы, в ведении которых такие образовательные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организации находятся.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color w:val="1a1a1a"/>
                <w:sz w:val="24"/>
                <w:szCs w:val="24"/>
                <w:highlight w:val="none"/>
              </w:rPr>
              <w:t xml:space="preserve">Изменения вступили в силу с 22 июня 2024 года</w:t>
            </w:r>
            <w:r>
              <w:rPr>
                <w:rFonts w:ascii="Times New Roman" w:hAnsi="Times New Roman" w:eastAsia="Arial" w:cs="Times New Roman"/>
                <w:b/>
                <w:bCs/>
                <w:color w:val="1a1a1a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253"/>
        </w:trPr>
        <w:tc>
          <w:tcPr>
            <w:tcW w:w="674" w:type="dxa"/>
            <w:textDirection w:val="lrTb"/>
            <w:noWrap w:val="false"/>
          </w:tcPr>
          <w:p>
            <w:pPr>
              <w:numPr>
                <w:ilvl w:val="0"/>
                <w:numId w:val="30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eastAsia="Arial" w:cs="Times New Roman"/>
                <w:color w:val="1a1a1a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Постановление Правительства РФ от 20.07.2024 №992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«О внесении изменений в Постановление Правительства Российской Федерации от 12 апреля 2019 г. № 434»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</w:r>
            <w:r/>
          </w:p>
        </w:tc>
        <w:tc>
          <w:tcPr>
            <w:tcW w:w="10916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eastAsia="Arial" w:cs="Times New Roman"/>
                <w:color w:val="1a1a1a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Оптимизирован порядок разработки, утверждения федеральных государственных образовательных стандартов и внесения в них изменений.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Предусмотрено создание советов Министерства просвещения по федеральным государственным образовательным стандартам общего образования и среднего профессионального образования.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  <w14:ligatures w14:val="none"/>
              </w:rPr>
            </w:r>
            <w:r/>
          </w:p>
          <w:p>
            <w:pPr>
              <w:ind w:left="0" w:right="0" w:firstLine="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eastAsia="Arial" w:cs="Times New Roman"/>
                <w:color w:val="1a1a1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eastAsia="Arial" w:cs="Times New Roman"/>
                <w:color w:val="1a1a1a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color w:val="1a1a1a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/>
                <w:bCs/>
                <w:color w:val="1a1a1a"/>
                <w:sz w:val="24"/>
                <w:szCs w:val="24"/>
              </w:rPr>
              <w:t xml:space="preserve">Настоящее Постановление вступило в силу с 28 июля 2024 года</w:t>
            </w:r>
            <w:r/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color w:val="1a1a1a"/>
                <w:highlight w:val="none"/>
              </w:rPr>
            </w:r>
          </w:p>
        </w:tc>
      </w:tr>
      <w:tr>
        <w:trPr>
          <w:trHeight w:val="253"/>
        </w:trPr>
        <w:tc>
          <w:tcPr>
            <w:tcW w:w="674" w:type="dxa"/>
            <w:textDirection w:val="lrTb"/>
            <w:noWrap w:val="false"/>
          </w:tcPr>
          <w:p>
            <w:pPr>
              <w:numPr>
                <w:ilvl w:val="0"/>
                <w:numId w:val="30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eastAsia="Arial" w:cs="Times New Roman"/>
                <w:color w:val="1a1a1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Постановление Правительства РФ от 11.07.2024 № 940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«О внесении изменений в Постановление Правительства Российской Федерации от 21 февраля 2022 г. № 225»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</w:r>
            <w:r/>
            <w:r>
              <w:rPr>
                <w:rFonts w:ascii="Times New Roman" w:hAnsi="Times New Roman" w:eastAsia="Arial" w:cs="Times New Roman"/>
                <w:color w:val="1a1a1a"/>
                <w14:ligatures w14:val="none"/>
              </w:rPr>
            </w:r>
          </w:p>
        </w:tc>
        <w:tc>
          <w:tcPr>
            <w:tcW w:w="10916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eastAsia="Arial" w:cs="Times New Roman"/>
                <w:color w:val="1a1a1a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Внесены изменения в 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подраздел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  <w14:ligatures w14:val="none"/>
              </w:rPr>
              <w:t xml:space="preserve"> в части наименования должностей: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слова "Преподаватель-организатор основ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безопасности жизнедеятельности" заменить словами "Преподаватель-организатор основ безопасности и защиты Родины". </w:t>
            </w:r>
            <w:r/>
            <w:r/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  <w14:ligatures w14:val="none"/>
              </w:rPr>
            </w:r>
          </w:p>
          <w:p>
            <w:pPr>
              <w:ind w:left="0" w:right="0" w:firstLine="0"/>
              <w:jc w:val="both"/>
              <w:spacing w:before="0" w:after="0" w:line="240" w:lineRule="auto"/>
              <w:shd w:val="clear" w:color="ffffff" w:fill="ffffff"/>
              <w:rPr>
                <w:rFonts w:ascii="Times New Roman" w:hAnsi="Times New Roman" w:eastAsia="Arial" w:cs="Times New Roman"/>
                <w:b/>
                <w:bCs/>
                <w:color w:val="1a1a1a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b/>
                <w:bCs/>
                <w:color w:val="1a1a1a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/>
                <w:bCs/>
                <w:color w:val="1a1a1a"/>
                <w:sz w:val="24"/>
                <w:szCs w:val="24"/>
              </w:rPr>
              <w:t xml:space="preserve">Настоящее Постановление вступает в силу с 1 сентября 2024 года</w:t>
            </w:r>
            <w:r>
              <w:rPr>
                <w:rFonts w:ascii="Times New Roman" w:hAnsi="Times New Roman" w:eastAsia="Arial" w:cs="Times New Roman"/>
                <w:b/>
                <w:bCs/>
                <w:color w:val="1a1a1a"/>
                <w:sz w:val="24"/>
                <w:szCs w:val="24"/>
                <w:highlight w:val="none"/>
                <w14:ligatures w14:val="none"/>
              </w:rPr>
            </w:r>
            <w:r/>
          </w:p>
        </w:tc>
      </w:tr>
    </w:tbl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Раздел 2. Информационные письма.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tbl>
      <w:tblPr>
        <w:tblW w:w="15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827"/>
        <w:gridCol w:w="10916"/>
      </w:tblGrid>
      <w:tr>
        <w:trPr>
          <w:trHeight w:val="130"/>
          <w:tblHeader/>
        </w:trPr>
        <w:tc>
          <w:tcPr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tabs>
                <w:tab w:val="left" w:pos="1026" w:leader="none"/>
              </w:tabs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№</w:t>
            </w:r>
            <w:r/>
          </w:p>
          <w:p>
            <w:pPr>
              <w:contextualSpacing/>
              <w:jc w:val="center"/>
              <w:spacing w:after="0" w:line="240" w:lineRule="auto"/>
              <w:tabs>
                <w:tab w:val="left" w:pos="1026" w:leader="none"/>
              </w:tabs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п/п</w:t>
            </w:r>
            <w:r/>
          </w:p>
        </w:tc>
        <w:tc>
          <w:tcPr>
            <w:tcW w:w="382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Название и реквизиты НПА</w:t>
            </w:r>
            <w:r/>
          </w:p>
        </w:tc>
        <w:tc>
          <w:tcPr>
            <w:tcW w:w="1091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Cs/>
                <w:sz w:val="24"/>
                <w:szCs w:val="24"/>
                <w:lang w:eastAsia="ru-RU"/>
              </w:rPr>
              <w:t xml:space="preserve">Краткое содержание НПА</w:t>
            </w:r>
            <w:r/>
          </w:p>
        </w:tc>
      </w:tr>
      <w:tr>
        <w:trPr>
          <w:trHeight w:val="253"/>
        </w:trPr>
        <w:tc>
          <w:tcPr>
            <w:tcW w:w="674" w:type="dxa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shd w:val="clear" w:color="auto" w:fill="ffffff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0" w:tooltip="https://fcoz.ru/zakonodatelstvo-ob-obrazovanii/ezhemesyachnye-obzory-zakonodatelstva-ob-obrazovanii/detail.php?ELEMENT_ID=22105" w:history="1">
              <w:r>
                <w:t xml:space="preserve">Письмо</w:t>
              </w:r>
              <w:r>
                <w:t xml:space="preserve"> </w:t>
              </w:r>
              <w:r>
                <w:t xml:space="preserve">Федеральной службы по надзору</w:t>
              </w:r>
            </w:hyperlink>
            <w:r>
              <w:t xml:space="preserve"> </w:t>
            </w:r>
            <w:r>
              <w:t xml:space="preserve">в сфере образования и науки</w:t>
            </w:r>
            <w:r>
              <w:t xml:space="preserve"> </w:t>
            </w:r>
            <w:r>
              <w:t xml:space="preserve">от 27 июня 2024 года </w:t>
              <w:br/>
              <w:t xml:space="preserve">№02-168</w:t>
            </w:r>
            <w:r>
              <w:t xml:space="preserve"> </w:t>
            </w:r>
            <w:r>
              <w:t xml:space="preserve">«О направлении методических документов, рекомендуемых при подготовке и проведении в </w:t>
            </w:r>
            <w:r>
              <w:t xml:space="preserve">2024/2025 учебном году мероприятий по оценке качества образования»</w:t>
            </w:r>
            <w:r>
              <w:rPr>
                <w14:ligatures w14:val="none"/>
              </w:rPr>
            </w:r>
            <w:r/>
          </w:p>
          <w:p>
            <w:pPr>
              <w:pStyle w:val="921"/>
              <w:jc w:val="both"/>
              <w:spacing w:before="0" w:beforeAutospacing="0" w:after="0" w:afterAutospacing="0"/>
              <w:shd w:val="clear" w:color="auto" w:fill="ffffff"/>
              <w:rPr>
                <w14:ligatures w14:val="none"/>
              </w:rPr>
            </w:pPr>
            <w:r>
              <w:rPr>
                <w14:ligatures w14:val="none"/>
              </w:rPr>
            </w:r>
            <w:r/>
          </w:p>
        </w:tc>
        <w:tc>
          <w:tcPr>
            <w:tcW w:w="10916" w:type="dxa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shd w:val="clear" w:color="auto" w:fill="ffffff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Рособрнадзор в соответствии с пунктом 6 Правил проведения мероприятий по оценке качества образования, утвержденных постановлением Правительства Российской</w:t>
            </w:r>
            <w:r>
              <w:t xml:space="preserve"> Федерации от 30.04.2024 №556 (вступает в силу с 01 сентября 2024 года), направило для использования в работе следующие методические документы, рекомендуемые при подготовке и проведении в 2024-2025 учебном году мероприятий по оценке качества образования: </w:t>
            </w:r>
            <w:r>
              <w:t xml:space="preserve">"Методические рекомендации по подготовке </w:t>
              <w:br/>
              <w:t xml:space="preserve">и проведению национальных </w:t>
            </w:r>
            <w:r>
              <w:t xml:space="preserve">сопоставительных исследований качества общего образования </w:t>
              <w:br/>
              <w:t xml:space="preserve">в образовательных организациях, </w:t>
            </w:r>
            <w:r>
              <w:t xml:space="preserve">осуществляющих образовательную деятельность, </w:t>
              <w:br/>
              <w:t xml:space="preserve">в 2024/2025 учебном году", "Методические </w:t>
            </w:r>
            <w:r>
              <w:t xml:space="preserve">рекомендациями по подготовке и проведению всероссийских проверочных работ в </w:t>
            </w:r>
            <w:r>
              <w:t xml:space="preserve">образовательных организациях, осуществляющих образовательную деятельность по </w:t>
            </w:r>
            <w:r>
              <w:t xml:space="preserve">образовательным программам начального общего, основного общего, среднего общего </w:t>
            </w:r>
            <w:r>
              <w:t xml:space="preserve">образования, в 2024/2025 учебном году", "Методические рекомендации по подготовке и </w:t>
            </w:r>
            <w:r>
              <w:t xml:space="preserve">проведению всероссийских проверочных работ в образовательных организациях, </w:t>
            </w:r>
            <w:r>
              <w:t xml:space="preserve">осуществляющих образовательную деятельность по образовательным программам среднего </w:t>
            </w:r>
            <w:r>
              <w:t xml:space="preserve">профессионального образования, в 2024/2025 учебном году".</w:t>
            </w:r>
            <w:r>
              <w:rPr>
                <w14:ligatures w14:val="none"/>
              </w:rPr>
            </w:r>
            <w:r/>
          </w:p>
        </w:tc>
      </w:tr>
      <w:tr>
        <w:trPr>
          <w:trHeight w:val="253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shd w:val="clear" w:color="auto" w:fill="ffffff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11" w:tooltip="https://fcoz.ru/zakonodatelstvo-ob-obrazovanii/ezhemesyachnye-obzory-zakonodatelstva-ob-obrazovanii/detail.php?ELEMENT_ID=22105" w:history="1">
              <w:r>
                <w:t xml:space="preserve">Письмо</w:t>
              </w:r>
              <w:r>
                <w:t xml:space="preserve"> </w:t>
              </w:r>
              <w:r>
                <w:t xml:space="preserve">Федеральной службы по надзору</w:t>
              </w:r>
            </w:hyperlink>
            <w:r>
              <w:t xml:space="preserve"> </w:t>
            </w:r>
            <w:r>
              <w:t xml:space="preserve">в сфере образования и науки</w:t>
            </w:r>
            <w:r>
              <w:t xml:space="preserve"> от 29 июля 2024 г. № 02-223</w:t>
            </w:r>
            <w:r/>
          </w:p>
          <w:p>
            <w:pPr>
              <w:pStyle w:val="921"/>
              <w:jc w:val="both"/>
              <w:spacing w:before="0" w:beforeAutospacing="0" w:after="0" w:afterAutospacing="0"/>
              <w:shd w:val="clear" w:color="auto" w:fill="ffffff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«О лицензировании образовательной деятельности, осуществляемой образовательной организацией в условиях медицинской</w:t>
              <w:br/>
              <w:t xml:space="preserve">организации или в реабилитационных центрах»</w:t>
            </w:r>
            <w:r/>
          </w:p>
          <w:p>
            <w:pPr>
              <w:pStyle w:val="921"/>
              <w:jc w:val="both"/>
              <w:spacing w:before="0" w:beforeAutospacing="0" w:after="0" w:afterAutospacing="0"/>
              <w:shd w:val="clear" w:color="auto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  <w:tc>
          <w:tcPr>
            <w:tcW w:w="10916" w:type="dxa"/>
            <w:vMerge w:val="restart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shd w:val="clear" w:color="auto" w:fill="ffffff"/>
              <w:rPr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Письмом </w:t>
            </w:r>
            <w:r>
              <w:t xml:space="preserve">установлено, что обучение детей, осваивающих основные общеобразовательные программы</w:t>
              <w:br/>
              <w:t xml:space="preserve">и нуждающихся в длительном лечении, а также детей-инвалидов, которые по состоянию здоровья не могут посещать образовательные организации (далее - обучающиеся, находящиеся н</w:t>
            </w:r>
            <w:r>
              <w:t xml:space="preserve">а длительном лечении), может быть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является заключение медицинской организации и в письменной форме</w:t>
            </w:r>
            <w:r>
              <w:t xml:space="preserve"> обращение родителей (законных представителей).</w:t>
            </w:r>
            <w:r/>
          </w:p>
          <w:p>
            <w:pPr>
              <w:pStyle w:val="921"/>
              <w:jc w:val="both"/>
              <w:spacing w:before="0" w:beforeAutospacing="0" w:after="0" w:afterAutospacing="0"/>
              <w:shd w:val="clear" w:color="auto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Со</w:t>
            </w:r>
            <w:r>
              <w:t xml:space="preserve">гласно части 6 статьи 41 Федерального закона N 273-ФЗ порядок регламентации </w:t>
              <w:br/>
              <w:t xml:space="preserve">и оформления отношений государственной и муниципальной образовательной организации </w:t>
              <w:br/>
              <w:t xml:space="preserve">и родителей (законных представителей) обучающихся, нуждающихся в длительном лечении, а также де</w:t>
            </w:r>
            <w:r>
              <w:t xml:space="preserve">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 </w:t>
            </w:r>
            <w:r>
              <w:t xml:space="preserve">Таким образом,</w:t>
            </w:r>
            <w:r>
              <w:t xml:space="preserve"> уполномоченный орган государственной власти субъекта  разрабатывает соответствующий нормативный правовой акт.</w: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/>
          </w:p>
        </w:tc>
      </w:tr>
      <w:tr>
        <w:trPr>
          <w:trHeight w:val="253"/>
        </w:trPr>
        <w:tc>
          <w:tcPr>
            <w:tcW w:w="674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37"/>
              </w:num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921"/>
              <w:jc w:val="both"/>
              <w:spacing w:before="0" w:beforeAutospacing="0" w:after="0" w:afterAutospacing="0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hyperlink r:id="rId12" w:tooltip="https://fcoz.ru/zakonodatelstvo-ob-obrazovanii/ezhemesyachnye-obzory-zakonodatelstva-ob-obrazovanii/detail.php?ELEMENT_ID=22105" w:history="1">
              <w:r>
                <w:rPr>
                  <w:color w:val="000000" w:themeColor="text1"/>
                </w:rPr>
                <w:t xml:space="preserve">Письмо</w:t>
              </w:r>
              <w:r>
                <w:rPr>
                  <w:color w:val="000000" w:themeColor="text1"/>
                </w:rPr>
                <w:t xml:space="preserve"> </w:t>
              </w:r>
              <w:r>
                <w:rPr>
                  <w:color w:val="000000" w:themeColor="text1"/>
                </w:rPr>
                <w:t xml:space="preserve">Федеральной службы по надзору</w:t>
              </w:r>
            </w:hyperlink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 сфере образования и науки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от 2 июля 2024 г. № 02-178 «</w:t>
            </w:r>
            <w:r>
              <w:rPr>
                <w:color w:val="000000" w:themeColor="text1"/>
              </w:rPr>
              <w:t xml:space="preserve">Об обязанности автошкол иметь заключение о соответствии учебно-материальной базы требованиям»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0916" w:type="dxa"/>
            <w:vMerge w:val="restart"/>
            <w:textDirection w:val="lrTb"/>
            <w:noWrap w:val="false"/>
          </w:tcPr>
          <w:p>
            <w:pPr>
              <w:pStyle w:val="921"/>
              <w:ind w:firstLine="461"/>
              <w:jc w:val="both"/>
              <w:spacing w:before="0" w:beforeAutospacing="0" w:after="0" w:afterAutospacing="0"/>
              <w:shd w:val="clear" w:color="auto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</w:rPr>
              <w:t xml:space="preserve">В соответствии с подпунктом "ж" пункта 8 Положения о лицензировании образовательной деятельности, утвержденного постановлением Правительства Российской Федерации о</w:t>
            </w:r>
            <w:r>
              <w:rPr>
                <w:color w:val="000000" w:themeColor="text1"/>
              </w:rPr>
              <w:t xml:space="preserve">т 18.09.2020 </w:t>
              <w:br/>
              <w:t xml:space="preserve">№ 1490 (в редакции постановления Правительства Российской Федерации от 21.02.202</w:t>
            </w:r>
            <w:r>
              <w:rPr>
                <w:color w:val="000000" w:themeColor="text1"/>
              </w:rPr>
              <w:t xml:space="preserve">4</w:t>
            </w:r>
            <w:r>
              <w:rPr>
                <w:color w:val="000000" w:themeColor="text1"/>
              </w:rPr>
              <w:t xml:space="preserve"> № 199), </w:t>
              <w:br/>
              <w:t xml:space="preserve">с 01.09.2024 организации, осуществляющие подготовку водителей транспортных средств, обязаны иметь заключения о соответствии учебно-материальной базы требованиям, установленным федеральным органом исполнительной власти, осущест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ляющим функции по выработке и реализации государственной политики и нормативно-правовому регулированию в сфере общего образования, выданного в порядке, определяемом федеральным органом исполнительной власти, осуществляющим функции по выработке и реализаци</w:t>
            </w:r>
            <w:r>
              <w:rPr>
                <w:color w:val="000000" w:themeColor="text1"/>
              </w:rPr>
              <w:t xml:space="preserve">и государственной политики и нормативно-правовому регулированию в сфере внутренних дел (далее - заключение о соответствии учебно-материальной базы требованиям).</w:t>
            </w:r>
            <w:r>
              <w:rPr>
                <w:color w:val="000000" w:themeColor="text1"/>
              </w:rPr>
            </w:r>
            <w:r/>
          </w:p>
          <w:p>
            <w:pPr>
              <w:pStyle w:val="921"/>
              <w:ind w:firstLine="461"/>
              <w:jc w:val="both"/>
              <w:spacing w:before="0" w:beforeAutospacing="0" w:after="0" w:afterAutospacing="0"/>
              <w:shd w:val="clear" w:color="auto" w:fill="ffffff"/>
              <w:rPr>
                <w:color w:val="000000" w:themeColor="text1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 w:themeColor="text1"/>
              </w:rPr>
              <w:t xml:space="preserve">Отсутствие указанного заключения о соответствии учебно-материальной базы требованиям </w:t>
              <w:br/>
              <w:t xml:space="preserve"> после 01.09.2024 будет являться нарушением лицензионных требований, которое в соответствии </w:t>
              <w:br/>
              <w:t xml:space="preserve">с частью 2 статьи </w:t>
            </w:r>
            <w:hyperlink r:id="rId13" w:tooltip="https://rulaws.ru/koap/Razdel-II/Glava-19/Statya-19.20/" w:history="1">
              <w:r>
                <w:rPr>
                  <w:color w:val="000000" w:themeColor="text1"/>
                </w:rPr>
                <w:t xml:space="preserve">19.20 Кодекса Российской Федерации об административных правонарушениях</w:t>
              </w:r>
            </w:hyperlink>
            <w:r>
              <w:rPr>
                <w:color w:val="000000" w:themeColor="text1"/>
              </w:rPr>
              <w:t xml:space="preserve"> влечет за собой административную ответственность.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sectPr>
      <w:headerReference w:type="default" r:id="rId9"/>
      <w:footnotePr/>
      <w:endnotePr/>
      <w:type w:val="nextPage"/>
      <w:pgSz w:w="16838" w:h="11906" w:orient="landscape"/>
      <w:pgMar w:top="680" w:right="851" w:bottom="680" w:left="851" w:header="284" w:footer="709" w:gutter="0"/>
      <w:pgNumType w:start="1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rPr>
        <w:rFonts w:ascii="Times New Roman" w:hAnsi="Times New Roman"/>
      </w:rPr>
    </w:pPr>
    <w:r>
      <w:rPr>
        <w:rFonts w:ascii="Times New Roman" w:hAnsi="Times New Roman"/>
      </w:rPr>
    </w:r>
    <w:r/>
  </w:p>
  <w:p>
    <w:pPr>
      <w:pStyle w:val="7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Arial" w:hAnsi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36"/>
  </w:num>
  <w:num w:numId="3">
    <w:abstractNumId w:val="34"/>
  </w:num>
  <w:num w:numId="4">
    <w:abstractNumId w:val="11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32"/>
  </w:num>
  <w:num w:numId="10">
    <w:abstractNumId w:val="19"/>
  </w:num>
  <w:num w:numId="11">
    <w:abstractNumId w:val="3"/>
  </w:num>
  <w:num w:numId="12">
    <w:abstractNumId w:val="4"/>
  </w:num>
  <w:num w:numId="13">
    <w:abstractNumId w:val="30"/>
  </w:num>
  <w:num w:numId="14">
    <w:abstractNumId w:val="26"/>
  </w:num>
  <w:num w:numId="15">
    <w:abstractNumId w:val="20"/>
  </w:num>
  <w:num w:numId="16">
    <w:abstractNumId w:val="25"/>
  </w:num>
  <w:num w:numId="17">
    <w:abstractNumId w:val="13"/>
  </w:num>
  <w:num w:numId="18">
    <w:abstractNumId w:val="24"/>
  </w:num>
  <w:num w:numId="19">
    <w:abstractNumId w:val="15"/>
  </w:num>
  <w:num w:numId="20">
    <w:abstractNumId w:val="28"/>
  </w:num>
  <w:num w:numId="21">
    <w:abstractNumId w:val="0"/>
  </w:num>
  <w:num w:numId="22">
    <w:abstractNumId w:val="12"/>
  </w:num>
  <w:num w:numId="23">
    <w:abstractNumId w:val="29"/>
  </w:num>
  <w:num w:numId="24">
    <w:abstractNumId w:val="17"/>
  </w:num>
  <w:num w:numId="25">
    <w:abstractNumId w:val="9"/>
  </w:num>
  <w:num w:numId="26">
    <w:abstractNumId w:val="8"/>
  </w:num>
  <w:num w:numId="27">
    <w:abstractNumId w:val="22"/>
  </w:num>
  <w:num w:numId="28">
    <w:abstractNumId w:val="16"/>
  </w:num>
  <w:num w:numId="29">
    <w:abstractNumId w:val="14"/>
  </w:num>
  <w:num w:numId="30">
    <w:abstractNumId w:val="6"/>
  </w:num>
  <w:num w:numId="31">
    <w:abstractNumId w:val="1"/>
  </w:num>
  <w:num w:numId="32">
    <w:abstractNumId w:val="27"/>
  </w:num>
  <w:num w:numId="33">
    <w:abstractNumId w:val="23"/>
  </w:num>
  <w:num w:numId="34">
    <w:abstractNumId w:val="18"/>
  </w:num>
  <w:num w:numId="35">
    <w:abstractNumId w:val="31"/>
  </w:num>
  <w:num w:numId="36">
    <w:abstractNumId w:val="3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 w:default="1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723">
    <w:name w:val="Heading 1"/>
    <w:basedOn w:val="722"/>
    <w:next w:val="722"/>
    <w:link w:val="923"/>
    <w:pPr>
      <w:jc w:val="center"/>
      <w:spacing w:before="75" w:after="0" w:line="240" w:lineRule="auto"/>
      <w:widowControl w:val="off"/>
      <w:outlineLvl w:val="0"/>
    </w:pPr>
    <w:rPr>
      <w:rFonts w:ascii="Arial" w:hAnsi="Arial" w:eastAsia="Times New Roman"/>
      <w:b/>
      <w:bCs/>
      <w:sz w:val="24"/>
      <w:szCs w:val="24"/>
      <w:u w:val="single"/>
      <w:lang w:val="en-US" w:eastAsia="ru-RU"/>
    </w:rPr>
  </w:style>
  <w:style w:type="paragraph" w:styleId="724">
    <w:name w:val="Heading 2"/>
    <w:basedOn w:val="722"/>
    <w:next w:val="722"/>
    <w:link w:val="75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5">
    <w:name w:val="Heading 3"/>
    <w:basedOn w:val="722"/>
    <w:next w:val="722"/>
    <w:link w:val="75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6">
    <w:name w:val="Heading 4"/>
    <w:basedOn w:val="722"/>
    <w:next w:val="722"/>
    <w:link w:val="75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722"/>
    <w:next w:val="722"/>
    <w:link w:val="75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722"/>
    <w:next w:val="722"/>
    <w:link w:val="75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9">
    <w:name w:val="Heading 7"/>
    <w:basedOn w:val="722"/>
    <w:next w:val="722"/>
    <w:link w:val="75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0">
    <w:name w:val="Heading 8"/>
    <w:basedOn w:val="722"/>
    <w:next w:val="722"/>
    <w:link w:val="75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1">
    <w:name w:val="Heading 9"/>
    <w:basedOn w:val="722"/>
    <w:next w:val="722"/>
    <w:link w:val="75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 w:default="1">
    <w:name w:val="Default Paragraph Font"/>
    <w:uiPriority w:val="1"/>
    <w:semiHidden/>
    <w:unhideWhenUsed/>
  </w:style>
  <w:style w:type="table" w:styleId="7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4" w:default="1">
    <w:name w:val="No List"/>
    <w:uiPriority w:val="99"/>
    <w:semiHidden/>
    <w:unhideWhenUsed/>
  </w:style>
  <w:style w:type="character" w:styleId="735" w:customStyle="1">
    <w:name w:val="Heading 2 Char"/>
    <w:basedOn w:val="732"/>
    <w:uiPriority w:val="9"/>
    <w:rPr>
      <w:rFonts w:ascii="Arial" w:hAnsi="Arial" w:eastAsia="Arial" w:cs="Arial"/>
      <w:sz w:val="34"/>
    </w:rPr>
  </w:style>
  <w:style w:type="character" w:styleId="736" w:customStyle="1">
    <w:name w:val="Heading 3 Char"/>
    <w:basedOn w:val="732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Heading 5 Char"/>
    <w:basedOn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6 Char"/>
    <w:basedOn w:val="732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7 Char"/>
    <w:basedOn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Heading 8 Char"/>
    <w:basedOn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Heading 9 Char"/>
    <w:basedOn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43" w:customStyle="1">
    <w:name w:val="Title Char"/>
    <w:basedOn w:val="732"/>
    <w:uiPriority w:val="10"/>
    <w:rPr>
      <w:sz w:val="48"/>
      <w:szCs w:val="48"/>
    </w:rPr>
  </w:style>
  <w:style w:type="character" w:styleId="744" w:customStyle="1">
    <w:name w:val="Subtitle Char"/>
    <w:basedOn w:val="732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link w:val="724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link w:val="725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link w:val="726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link w:val="727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link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link w:val="7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link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722"/>
    <w:uiPriority w:val="34"/>
    <w:qFormat/>
    <w:pPr>
      <w:contextualSpacing/>
      <w:ind w:left="720"/>
    </w:pPr>
  </w:style>
  <w:style w:type="paragraph" w:styleId="759">
    <w:name w:val="No Spacing"/>
    <w:uiPriority w:val="1"/>
    <w:qFormat/>
    <w:rPr>
      <w:lang w:eastAsia="zh-CN"/>
    </w:rPr>
  </w:style>
  <w:style w:type="paragraph" w:styleId="760">
    <w:name w:val="Title"/>
    <w:basedOn w:val="722"/>
    <w:next w:val="722"/>
    <w:link w:val="761"/>
    <w:uiPriority w:val="10"/>
    <w:qFormat/>
    <w:pPr>
      <w:contextualSpacing/>
      <w:spacing w:before="300"/>
    </w:pPr>
    <w:rPr>
      <w:sz w:val="48"/>
      <w:szCs w:val="48"/>
    </w:rPr>
  </w:style>
  <w:style w:type="character" w:styleId="761" w:customStyle="1">
    <w:name w:val="Название Знак"/>
    <w:link w:val="760"/>
    <w:uiPriority w:val="10"/>
    <w:rPr>
      <w:sz w:val="48"/>
      <w:szCs w:val="48"/>
    </w:rPr>
  </w:style>
  <w:style w:type="paragraph" w:styleId="762">
    <w:name w:val="Subtitle"/>
    <w:basedOn w:val="722"/>
    <w:next w:val="722"/>
    <w:link w:val="763"/>
    <w:uiPriority w:val="11"/>
    <w:qFormat/>
    <w:pPr>
      <w:spacing w:before="200"/>
    </w:pPr>
    <w:rPr>
      <w:sz w:val="24"/>
      <w:szCs w:val="24"/>
    </w:r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22"/>
    <w:next w:val="722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22"/>
    <w:next w:val="722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22"/>
    <w:link w:val="91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/>
    </w:rPr>
  </w:style>
  <w:style w:type="character" w:styleId="769" w:customStyle="1">
    <w:name w:val="Header Char"/>
    <w:uiPriority w:val="99"/>
  </w:style>
  <w:style w:type="paragraph" w:styleId="770">
    <w:name w:val="Footer"/>
    <w:basedOn w:val="722"/>
    <w:link w:val="920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/>
    </w:rPr>
  </w:style>
  <w:style w:type="character" w:styleId="771" w:customStyle="1">
    <w:name w:val="Footer Char"/>
    <w:uiPriority w:val="99"/>
  </w:style>
  <w:style w:type="paragraph" w:styleId="772">
    <w:name w:val="Caption"/>
    <w:basedOn w:val="722"/>
    <w:next w:val="722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73" w:customStyle="1">
    <w:name w:val="Caption Char"/>
    <w:uiPriority w:val="99"/>
  </w:style>
  <w:style w:type="table" w:styleId="774">
    <w:name w:val="Table Grid"/>
    <w:basedOn w:val="733"/>
    <w:tblPr/>
  </w:style>
  <w:style w:type="table" w:styleId="77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0">
    <w:name w:val="Hyperlink"/>
    <w:rPr>
      <w:color w:val="0000ff"/>
      <w:u w:val="single"/>
    </w:rPr>
  </w:style>
  <w:style w:type="paragraph" w:styleId="901">
    <w:name w:val="footnote text"/>
    <w:basedOn w:val="722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722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22"/>
    <w:next w:val="722"/>
    <w:uiPriority w:val="39"/>
    <w:unhideWhenUsed/>
    <w:pPr>
      <w:spacing w:after="57"/>
    </w:pPr>
  </w:style>
  <w:style w:type="paragraph" w:styleId="908">
    <w:name w:val="toc 2"/>
    <w:basedOn w:val="722"/>
    <w:next w:val="722"/>
    <w:uiPriority w:val="39"/>
    <w:unhideWhenUsed/>
    <w:pPr>
      <w:ind w:left="283"/>
      <w:spacing w:after="57"/>
    </w:pPr>
  </w:style>
  <w:style w:type="paragraph" w:styleId="909">
    <w:name w:val="toc 3"/>
    <w:basedOn w:val="722"/>
    <w:next w:val="722"/>
    <w:uiPriority w:val="39"/>
    <w:unhideWhenUsed/>
    <w:pPr>
      <w:ind w:left="567"/>
      <w:spacing w:after="57"/>
    </w:pPr>
  </w:style>
  <w:style w:type="paragraph" w:styleId="910">
    <w:name w:val="toc 4"/>
    <w:basedOn w:val="722"/>
    <w:next w:val="722"/>
    <w:uiPriority w:val="39"/>
    <w:unhideWhenUsed/>
    <w:pPr>
      <w:ind w:left="850"/>
      <w:spacing w:after="57"/>
    </w:pPr>
  </w:style>
  <w:style w:type="paragraph" w:styleId="911">
    <w:name w:val="toc 5"/>
    <w:basedOn w:val="722"/>
    <w:next w:val="722"/>
    <w:uiPriority w:val="39"/>
    <w:unhideWhenUsed/>
    <w:pPr>
      <w:ind w:left="1134"/>
      <w:spacing w:after="57"/>
    </w:pPr>
  </w:style>
  <w:style w:type="paragraph" w:styleId="912">
    <w:name w:val="toc 6"/>
    <w:basedOn w:val="722"/>
    <w:next w:val="722"/>
    <w:uiPriority w:val="39"/>
    <w:unhideWhenUsed/>
    <w:pPr>
      <w:ind w:left="1417"/>
      <w:spacing w:after="57"/>
    </w:pPr>
  </w:style>
  <w:style w:type="paragraph" w:styleId="913">
    <w:name w:val="toc 7"/>
    <w:basedOn w:val="722"/>
    <w:next w:val="722"/>
    <w:uiPriority w:val="39"/>
    <w:unhideWhenUsed/>
    <w:pPr>
      <w:ind w:left="1701"/>
      <w:spacing w:after="57"/>
    </w:pPr>
  </w:style>
  <w:style w:type="paragraph" w:styleId="914">
    <w:name w:val="toc 8"/>
    <w:basedOn w:val="722"/>
    <w:next w:val="722"/>
    <w:uiPriority w:val="39"/>
    <w:unhideWhenUsed/>
    <w:pPr>
      <w:ind w:left="1984"/>
      <w:spacing w:after="57"/>
    </w:pPr>
  </w:style>
  <w:style w:type="paragraph" w:styleId="915">
    <w:name w:val="toc 9"/>
    <w:basedOn w:val="722"/>
    <w:next w:val="722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  <w:rPr>
      <w:lang w:eastAsia="zh-CN"/>
    </w:rPr>
  </w:style>
  <w:style w:type="paragraph" w:styleId="917">
    <w:name w:val="table of figures"/>
    <w:basedOn w:val="722"/>
    <w:next w:val="722"/>
    <w:uiPriority w:val="99"/>
    <w:unhideWhenUsed/>
    <w:pPr>
      <w:spacing w:after="0"/>
    </w:pPr>
  </w:style>
  <w:style w:type="paragraph" w:styleId="918" w:customStyle="1">
    <w:name w:val="doc_link"/>
    <w:basedOn w:val="72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19" w:customStyle="1">
    <w:name w:val="Верхний колонтитул Знак"/>
    <w:link w:val="768"/>
    <w:rPr>
      <w:rFonts w:ascii="Calibri" w:hAnsi="Calibri" w:eastAsia="Calibri"/>
    </w:rPr>
  </w:style>
  <w:style w:type="character" w:styleId="920" w:customStyle="1">
    <w:name w:val="Нижний колонтитул Знак"/>
    <w:link w:val="770"/>
    <w:rPr>
      <w:rFonts w:ascii="Calibri" w:hAnsi="Calibri" w:eastAsia="Calibri"/>
    </w:rPr>
  </w:style>
  <w:style w:type="paragraph" w:styleId="921">
    <w:name w:val="Normal (Web)"/>
    <w:basedOn w:val="72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formattext"/>
    <w:basedOn w:val="72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Заголовок 1 Знак"/>
    <w:link w:val="723"/>
    <w:rPr>
      <w:rFonts w:ascii="Arial" w:hAnsi="Arial" w:eastAsia="Times New Roman"/>
      <w:b/>
      <w:bCs/>
      <w:sz w:val="24"/>
      <w:szCs w:val="24"/>
      <w:u w:val="single"/>
      <w:lang w:eastAsia="ru-RU"/>
    </w:rPr>
  </w:style>
  <w:style w:type="paragraph" w:styleId="924">
    <w:name w:val="Balloon Text"/>
    <w:basedOn w:val="722"/>
    <w:link w:val="925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925" w:customStyle="1">
    <w:name w:val="Текст выноски Знак"/>
    <w:link w:val="924"/>
    <w:semiHidden/>
    <w:rPr>
      <w:rFonts w:ascii="Tahoma" w:hAnsi="Tahoma" w:eastAsia="Calibri"/>
      <w:sz w:val="16"/>
      <w:szCs w:val="16"/>
    </w:rPr>
  </w:style>
  <w:style w:type="paragraph" w:styleId="926" w:customStyle="1">
    <w:name w:val="ConsPlusNormal"/>
    <w:pPr>
      <w:widowControl w:val="off"/>
    </w:pPr>
    <w:rPr>
      <w:rFonts w:ascii="Times New Roman" w:hAnsi="Times New Roman" w:eastAsia="Times New Roman"/>
      <w:sz w:val="24"/>
      <w:szCs w:val="24"/>
    </w:rPr>
  </w:style>
  <w:style w:type="paragraph" w:styleId="927" w:customStyle="1">
    <w:name w:val="Название;Заголовок"/>
    <w:basedOn w:val="722"/>
    <w:link w:val="928"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4"/>
      <w:lang w:val="en-US"/>
    </w:rPr>
  </w:style>
  <w:style w:type="character" w:styleId="928" w:customStyle="1">
    <w:name w:val="Название Знак;Заголовок Знак"/>
    <w:link w:val="927"/>
    <w:rPr>
      <w:rFonts w:ascii="Times New Roman" w:hAnsi="Times New Roman" w:eastAsia="Times New Roman"/>
      <w:b/>
      <w:bCs/>
      <w:sz w:val="28"/>
      <w:szCs w:val="24"/>
      <w:lang w:val="en-US" w:eastAsia="en-US"/>
    </w:rPr>
  </w:style>
  <w:style w:type="paragraph" w:styleId="929" w:customStyle="1">
    <w:name w:val="rev_ann"/>
    <w:basedOn w:val="72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30" w:customStyle="1">
    <w:name w:val="headertext"/>
    <w:basedOn w:val="72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fcoz.ru/zakonodatelstvo-ob-obrazovanii/ezhemesyachnye-obzory-zakonodatelstva-ob-obrazovanii/detail.php?ELEMENT_ID=22105" TargetMode="External"/><Relationship Id="rId11" Type="http://schemas.openxmlformats.org/officeDocument/2006/relationships/hyperlink" Target="https://fcoz.ru/zakonodatelstvo-ob-obrazovanii/ezhemesyachnye-obzory-zakonodatelstva-ob-obrazovanii/detail.php?ELEMENT_ID=22105" TargetMode="External"/><Relationship Id="rId12" Type="http://schemas.openxmlformats.org/officeDocument/2006/relationships/hyperlink" Target="https://fcoz.ru/zakonodatelstvo-ob-obrazovanii/ezhemesyachnye-obzory-zakonodatelstva-ob-obrazovanii/detail.php?ELEMENT_ID=22105" TargetMode="External"/><Relationship Id="rId13" Type="http://schemas.openxmlformats.org/officeDocument/2006/relationships/hyperlink" Target="https://rulaws.ru/koap/Razdel-II/Glava-19/Statya-19.2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39</cp:revision>
  <dcterms:created xsi:type="dcterms:W3CDTF">2024-05-31T11:44:00Z</dcterms:created>
  <dcterms:modified xsi:type="dcterms:W3CDTF">2024-08-15T08:48:14Z</dcterms:modified>
</cp:coreProperties>
</file>