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Мониторинг изменений законодательства Российской Федерации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сфере образования по состоянию на 01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июля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2024 года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(образовательные организации, осуществляющая образовательную деятельность по образовательным программам среднего профессионального образования)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i/>
          <w:sz w:val="28"/>
          <w:szCs w:val="28"/>
          <w:lang w:eastAsia="ru-RU"/>
        </w:rPr>
      </w:r>
      <w:r/>
    </w:p>
    <w:p>
      <w:pPr>
        <w:ind w:firstLine="567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/>
      <w:bookmarkStart w:id="1" w:name="_GoBack"/>
      <w:r/>
      <w:bookmarkEnd w:id="1"/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Раздел 1. Информационные письма.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tbl>
      <w:tblPr>
        <w:tblW w:w="152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110"/>
        <w:gridCol w:w="10347"/>
      </w:tblGrid>
      <w:tr>
        <w:trPr>
          <w:trHeight w:val="130"/>
          <w:tblHeader/>
        </w:trPr>
        <w:tc>
          <w:tcPr>
            <w:tcW w:w="81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1026" w:leader="none"/>
              </w:tabs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contextualSpacing/>
              <w:jc w:val="center"/>
              <w:spacing w:after="0" w:line="240" w:lineRule="auto"/>
              <w:tabs>
                <w:tab w:val="left" w:pos="1026" w:leader="none"/>
              </w:tabs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п/п</w:t>
            </w:r>
            <w:r/>
          </w:p>
        </w:tc>
        <w:tc>
          <w:tcPr>
            <w:tcW w:w="411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Название и реквизиты НПА</w:t>
            </w:r>
            <w:r/>
          </w:p>
        </w:tc>
        <w:tc>
          <w:tcPr>
            <w:tcW w:w="1034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Краткое содержание НПА</w:t>
            </w:r>
            <w:r/>
          </w:p>
        </w:tc>
      </w:tr>
      <w:tr>
        <w:trPr>
          <w:trHeight w:val="253"/>
        </w:trPr>
        <w:tc>
          <w:tcPr>
            <w:tcW w:w="816" w:type="dxa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after="0" w:afterAutospacing="0"/>
              <w:shd w:val="clear" w:color="auto" w:fill="ffffff"/>
              <w:rPr>
                <w:color w:val="212c3c"/>
              </w:rPr>
            </w:pPr>
            <w:r/>
            <w:hyperlink r:id="rId11" w:tooltip="https://fcoz.ru/zakonodatelstvo-ob-obrazovanii/ezhemesyachnye-obzory-zakonodatelstva-ob-obrazovanii/detail.php?ELEMENT_ID=22098" w:history="1">
              <w:r>
                <w:t xml:space="preserve">Письмо</w:t>
              </w:r>
            </w:hyperlink>
            <w:r>
              <w:rPr>
                <w:color w:val="212c3c"/>
              </w:rPr>
              <w:fldChar w:fldCharType="begin"/>
            </w:r>
            <w:r>
              <w:rPr>
                <w:color w:val="212c3c"/>
              </w:rPr>
              <w:instrText xml:space="preserve"> HYPERLINK "https://fcoz.ru/zakonodatelstvo-ob-obrazovanii/ezhemesyachnye-obzory-zakonodatelstva-ob-obrazovanii/detail.php?ELEMENT_ID=22098" </w:instrText>
            </w:r>
            <w:r>
              <w:rPr>
                <w:color w:val="212c3c"/>
              </w:rPr>
              <w:fldChar w:fldCharType="separate"/>
            </w:r>
            <w:r>
              <w:rPr>
                <w:color w:val="212c3c"/>
              </w:rPr>
              <w:t xml:space="preserve"> Министерства Просвещения Российской Федерации от 14 июня 2024 г. № 05-1971 «О направлении рекомендаций»</w:t>
            </w:r>
            <w:r/>
          </w:p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212c3c"/>
                <w:sz w:val="24"/>
                <w:szCs w:val="24"/>
                <w:lang w:eastAsia="ru-RU"/>
              </w:rPr>
              <w:fldChar w:fldCharType="end"/>
            </w:r>
            <w:r/>
          </w:p>
        </w:tc>
        <w:tc>
          <w:tcPr>
            <w:tcW w:w="10347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after="0" w:afterAutospacing="0"/>
              <w:shd w:val="clear" w:color="auto" w:fill="ffffff"/>
              <w:rPr>
                <w:color w:val="212c3c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212c3c"/>
              </w:rPr>
              <w:t xml:space="preserve">Рекомендации разработаны с целью разъяснения основных действий </w:t>
            </w:r>
            <w:r>
              <w:rPr>
                <w:color w:val="212c3c"/>
              </w:rPr>
              <w:t xml:space="preserve">организаций, </w:t>
            </w:r>
            <w:r>
              <w:rPr>
                <w:color w:val="212c3c"/>
              </w:rPr>
              <w:t xml:space="preserve">осуществляющих </w:t>
            </w:r>
            <w:r>
              <w:rPr>
                <w:color w:val="212c3c"/>
              </w:rPr>
              <w:t xml:space="preserve">образовательную деятельность по </w:t>
            </w:r>
            <w:r>
              <w:rPr>
                <w:color w:val="212c3c"/>
              </w:rPr>
              <w:t xml:space="preserve">обеспечению получения среднего общего образования в пределах освоения </w:t>
            </w:r>
            <w:r>
              <w:rPr>
                <w:color w:val="212c3c"/>
              </w:rPr>
              <w:t xml:space="preserve">образовательных программ среднего профессионального образования </w:t>
            </w:r>
            <w:r>
              <w:rPr>
                <w:color w:val="212c3c"/>
              </w:rPr>
              <w:t xml:space="preserve">(программ подготовки квалифицированных рабочих (служащих), программ </w:t>
            </w:r>
            <w:r>
              <w:rPr>
                <w:color w:val="212c3c"/>
              </w:rPr>
              <w:t xml:space="preserve">подготовки </w:t>
            </w:r>
            <w:r>
              <w:rPr>
                <w:color w:val="212c3c"/>
              </w:rPr>
              <w:t xml:space="preserve">специалистов </w:t>
            </w:r>
            <w:r>
              <w:rPr>
                <w:color w:val="212c3c"/>
              </w:rPr>
              <w:t xml:space="preserve">среднего </w:t>
            </w:r>
            <w:r>
              <w:rPr>
                <w:color w:val="212c3c"/>
              </w:rPr>
              <w:t xml:space="preserve">совершенствование учебного процесса организаций, реализующих указанные </w:t>
            </w:r>
            <w:r>
              <w:rPr>
                <w:color w:val="212c3c"/>
              </w:rPr>
              <w:t xml:space="preserve">программы и направляет на совершенствование образовательного процесса.</w:t>
            </w:r>
            <w:r>
              <w:rPr>
                <w:color w:val="212c3c"/>
                <w14:ligatures w14:val="none"/>
              </w:rPr>
            </w:r>
            <w:r/>
          </w:p>
        </w:tc>
      </w:tr>
      <w:tr>
        <w:trPr>
          <w:trHeight w:val="253"/>
        </w:trPr>
        <w:tc>
          <w:tcPr>
            <w:tcW w:w="816" w:type="dxa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923"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hyperlink r:id="rId12" w:tooltip="https://fcoz.ru/zakonodatelstvo-ob-obrazovanii/ezhemesyachnye-obzory-zakonodatelstva-ob-obrazovanii/detail.php?ELEMENT_ID=22105" w:history="1">
              <w:r>
                <w:rPr>
                  <w:color w:val="000000" w:themeColor="text1"/>
                </w:rPr>
                <w:t xml:space="preserve">Письмо</w:t>
              </w:r>
              <w:r>
                <w:rPr>
                  <w:color w:val="000000" w:themeColor="text1"/>
                </w:rPr>
                <w:t xml:space="preserve"> </w:t>
              </w:r>
              <w:r>
                <w:rPr>
                  <w:color w:val="000000" w:themeColor="text1"/>
                </w:rPr>
                <w:t xml:space="preserve">Федеральной службы по надзору</w:t>
              </w:r>
            </w:hyperlink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 сфере образования и науки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от 2 июля 2024 г. № 02-178 «</w:t>
            </w:r>
            <w:r>
              <w:rPr>
                <w:color w:val="000000" w:themeColor="text1"/>
              </w:rPr>
              <w:t xml:space="preserve">Об обязанности автошкол иметь заключение о соответствии учебно-материальной базы требованиям»</w:t>
            </w:r>
            <w:r>
              <w:rPr>
                <w:color w:val="000000" w:themeColor="text1"/>
                <w14:ligatures w14:val="none"/>
              </w:rPr>
            </w:r>
            <w:r/>
          </w:p>
        </w:tc>
        <w:tc>
          <w:tcPr>
            <w:tcW w:w="10347" w:type="dxa"/>
            <w:textDirection w:val="lrTb"/>
            <w:noWrap w:val="false"/>
          </w:tcPr>
          <w:p>
            <w:pPr>
              <w:pStyle w:val="923"/>
              <w:ind w:firstLine="461"/>
              <w:jc w:val="both"/>
              <w:spacing w:before="0" w:beforeAutospacing="0" w:after="0" w:afterAutospacing="0"/>
              <w:shd w:val="clear" w:color="auto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</w:rPr>
              <w:t xml:space="preserve">В соответствии с подпунктом "ж" пункта 8 Положения о лицензировании образовательной деятельности, утвержденного постановлением Правительства Российской Федерации</w:t>
              <w:br/>
              <w:t xml:space="preserve"> о</w:t>
            </w:r>
            <w:r>
              <w:rPr>
                <w:color w:val="000000" w:themeColor="text1"/>
              </w:rPr>
              <w:t xml:space="preserve">т 18.09.2020 № 1490 (в редакции постановления Правительства Российской Федерации </w:t>
              <w:br/>
              <w:t xml:space="preserve">от 21.02.202</w:t>
            </w: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  <w:t xml:space="preserve"> № 199), с 01.09.2024 организации, осуществляющие подготовку водителей транспортных средств, обязаны иметь заключения о соответствии учебно-материальной базы требованиям, установленным федеральным органом исполнительной власти, осущест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ляющим функции по выработке и реализации государственной политики и нормативно-правовому регулированию в сфере общего образования, выданного в порядке, определяемом федеральным органом исполнительной власти, осуществляющим функции по выработке </w:t>
              <w:br/>
              <w:t xml:space="preserve">и реализаци</w:t>
            </w:r>
            <w:r>
              <w:rPr>
                <w:color w:val="000000" w:themeColor="text1"/>
              </w:rPr>
              <w:t xml:space="preserve">и государственной политики и нормативно-правовому регулированию в сфере внутренних дел (далее - заключение о соответствии учебно-материальной базы требованиям).</w:t>
            </w:r>
            <w:r>
              <w:rPr>
                <w:color w:val="000000" w:themeColor="text1"/>
                <w14:ligatures w14:val="none"/>
              </w:rPr>
            </w:r>
            <w:r/>
          </w:p>
          <w:p>
            <w:pPr>
              <w:pStyle w:val="923"/>
              <w:ind w:firstLine="461"/>
              <w:jc w:val="both"/>
              <w:spacing w:before="0" w:beforeAutospacing="0" w:after="0" w:afterAutospacing="0"/>
              <w:shd w:val="clear" w:color="auto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</w:rPr>
              <w:t xml:space="preserve">Отсутствие указанного заключения о соответствии учебно-материальной базы требованиям </w:t>
              <w:br/>
              <w:t xml:space="preserve">после 01.09.2024 будет являться нарушением лицензионных требований, которое </w:t>
              <w:br/>
              <w:t xml:space="preserve">в соответствии  с частью 2 статьи </w:t>
            </w:r>
            <w:hyperlink r:id="rId13" w:tooltip="https://rulaws.ru/koap/Razdel-II/Glava-19/Statya-19.20/" w:history="1">
              <w:r>
                <w:rPr>
                  <w:color w:val="000000" w:themeColor="text1"/>
                </w:rPr>
                <w:t xml:space="preserve">19.20 Кодекса Российской Федерации об административных правонарушениях</w:t>
              </w:r>
            </w:hyperlink>
            <w:r>
              <w:rPr>
                <w:color w:val="000000" w:themeColor="text1"/>
              </w:rPr>
              <w:t xml:space="preserve"> влечет за собой административную ответственность.</w:t>
            </w:r>
            <w:r>
              <w:rPr>
                <w:color w:val="000000" w:themeColor="text1"/>
                <w14:ligatures w14:val="none"/>
              </w:rPr>
            </w:r>
            <w:r/>
          </w:p>
        </w:tc>
      </w:tr>
    </w:tbl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680" w:right="851" w:bottom="680" w:left="851" w:header="284" w:footer="709" w:gutter="0"/>
      <w:pgNumType w:start="1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SimSun">
    <w:panose1 w:val="02010600030101010101"/>
  </w:font>
  <w:font w:name="Calibri Light">
    <w:panose1 w:val="020F03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rPr>
        <w:rFonts w:ascii="Times New Roman" w:hAnsi="Times New Roman"/>
      </w:rPr>
    </w:pPr>
    <w:r>
      <w:rPr>
        <w:rFonts w:ascii="Times New Roman" w:hAnsi="Times New Roman"/>
      </w:rPr>
    </w:r>
    <w:r/>
  </w:p>
  <w:p>
    <w:pPr>
      <w:pStyle w:val="7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35"/>
  </w:num>
  <w:num w:numId="4">
    <w:abstractNumId w:val="36"/>
  </w:num>
  <w:num w:numId="5">
    <w:abstractNumId w:val="4"/>
  </w:num>
  <w:num w:numId="6">
    <w:abstractNumId w:val="30"/>
  </w:num>
  <w:num w:numId="7">
    <w:abstractNumId w:val="24"/>
  </w:num>
  <w:num w:numId="8">
    <w:abstractNumId w:val="28"/>
  </w:num>
  <w:num w:numId="9">
    <w:abstractNumId w:val="37"/>
  </w:num>
  <w:num w:numId="10">
    <w:abstractNumId w:val="1"/>
  </w:num>
  <w:num w:numId="11">
    <w:abstractNumId w:val="12"/>
  </w:num>
  <w:num w:numId="12">
    <w:abstractNumId w:val="13"/>
  </w:num>
  <w:num w:numId="13">
    <w:abstractNumId w:val="9"/>
  </w:num>
  <w:num w:numId="14">
    <w:abstractNumId w:val="0"/>
  </w:num>
  <w:num w:numId="15">
    <w:abstractNumId w:val="5"/>
  </w:num>
  <w:num w:numId="16">
    <w:abstractNumId w:val="29"/>
  </w:num>
  <w:num w:numId="17">
    <w:abstractNumId w:val="20"/>
  </w:num>
  <w:num w:numId="18">
    <w:abstractNumId w:val="33"/>
  </w:num>
  <w:num w:numId="19">
    <w:abstractNumId w:val="22"/>
  </w:num>
  <w:num w:numId="20">
    <w:abstractNumId w:val="34"/>
  </w:num>
  <w:num w:numId="21">
    <w:abstractNumId w:val="27"/>
  </w:num>
  <w:num w:numId="22">
    <w:abstractNumId w:val="8"/>
  </w:num>
  <w:num w:numId="23">
    <w:abstractNumId w:val="2"/>
  </w:num>
  <w:num w:numId="24">
    <w:abstractNumId w:val="18"/>
  </w:num>
  <w:num w:numId="25">
    <w:abstractNumId w:val="21"/>
  </w:num>
  <w:num w:numId="26">
    <w:abstractNumId w:val="31"/>
  </w:num>
  <w:num w:numId="27">
    <w:abstractNumId w:val="32"/>
  </w:num>
  <w:num w:numId="28">
    <w:abstractNumId w:val="6"/>
  </w:num>
  <w:num w:numId="29">
    <w:abstractNumId w:val="15"/>
  </w:num>
  <w:num w:numId="30">
    <w:abstractNumId w:val="25"/>
  </w:num>
  <w:num w:numId="31">
    <w:abstractNumId w:val="14"/>
  </w:num>
  <w:num w:numId="32">
    <w:abstractNumId w:val="17"/>
  </w:num>
  <w:num w:numId="33">
    <w:abstractNumId w:val="19"/>
  </w:num>
  <w:num w:numId="34">
    <w:abstractNumId w:val="11"/>
  </w:num>
  <w:num w:numId="35">
    <w:abstractNumId w:val="3"/>
  </w:num>
  <w:num w:numId="36">
    <w:abstractNumId w:val="16"/>
  </w:num>
  <w:num w:numId="37">
    <w:abstractNumId w:val="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 w:default="1">
    <w:name w:val="Normal"/>
    <w:qFormat/>
    <w:pPr>
      <w:spacing w:after="160" w:line="259" w:lineRule="auto"/>
    </w:pPr>
    <w:rPr>
      <w:sz w:val="22"/>
      <w:szCs w:val="22"/>
      <w:lang w:eastAsia="zh-CN"/>
    </w:rPr>
  </w:style>
  <w:style w:type="paragraph" w:styleId="725">
    <w:name w:val="Heading 1"/>
    <w:basedOn w:val="724"/>
    <w:next w:val="724"/>
    <w:link w:val="925"/>
    <w:uiPriority w:val="9"/>
    <w:qFormat/>
    <w:pPr>
      <w:keepLines/>
      <w:keepNext/>
      <w:spacing w:before="240" w:after="0"/>
      <w:outlineLvl w:val="0"/>
    </w:pPr>
    <w:rPr>
      <w:rFonts w:ascii="Calibri Light" w:hAnsi="Calibri Light" w:eastAsia="SimSun"/>
      <w:color w:val="2e74b5"/>
      <w:sz w:val="32"/>
      <w:szCs w:val="32"/>
    </w:rPr>
  </w:style>
  <w:style w:type="paragraph" w:styleId="726">
    <w:name w:val="Heading 2"/>
    <w:basedOn w:val="724"/>
    <w:next w:val="724"/>
    <w:link w:val="752"/>
    <w:uiPriority w:val="9"/>
    <w:unhideWhenUsed/>
    <w:qFormat/>
    <w:pPr>
      <w:keepLines/>
      <w:keepNext/>
      <w:spacing w:before="40" w:after="0"/>
      <w:outlineLvl w:val="1"/>
    </w:pPr>
    <w:rPr>
      <w:rFonts w:ascii="Calibri Light" w:hAnsi="Calibri Light" w:eastAsia="SimSun"/>
      <w:color w:val="2e74b5"/>
      <w:sz w:val="28"/>
      <w:szCs w:val="28"/>
    </w:rPr>
  </w:style>
  <w:style w:type="paragraph" w:styleId="727">
    <w:name w:val="Heading 3"/>
    <w:basedOn w:val="724"/>
    <w:next w:val="724"/>
    <w:link w:val="753"/>
    <w:uiPriority w:val="9"/>
    <w:unhideWhenUsed/>
    <w:qFormat/>
    <w:pPr>
      <w:keepLines/>
      <w:keepNext/>
      <w:spacing w:before="40" w:after="0"/>
      <w:outlineLvl w:val="2"/>
    </w:pPr>
    <w:rPr>
      <w:rFonts w:ascii="Calibri Light" w:hAnsi="Calibri Light" w:eastAsia="SimSun"/>
      <w:color w:val="1f4e79"/>
      <w:sz w:val="24"/>
      <w:szCs w:val="24"/>
    </w:rPr>
  </w:style>
  <w:style w:type="paragraph" w:styleId="728">
    <w:name w:val="Heading 4"/>
    <w:basedOn w:val="724"/>
    <w:next w:val="724"/>
    <w:link w:val="754"/>
    <w:uiPriority w:val="9"/>
    <w:unhideWhenUsed/>
    <w:qFormat/>
    <w:pPr>
      <w:keepLines/>
      <w:keepNext/>
      <w:spacing w:before="40" w:after="0"/>
      <w:outlineLvl w:val="3"/>
    </w:pPr>
    <w:rPr>
      <w:i/>
      <w:iCs/>
    </w:rPr>
  </w:style>
  <w:style w:type="paragraph" w:styleId="729">
    <w:name w:val="Heading 5"/>
    <w:basedOn w:val="724"/>
    <w:next w:val="724"/>
    <w:link w:val="755"/>
    <w:uiPriority w:val="9"/>
    <w:unhideWhenUsed/>
    <w:qFormat/>
    <w:pPr>
      <w:keepLines/>
      <w:keepNext/>
      <w:spacing w:before="40" w:after="0"/>
      <w:outlineLvl w:val="4"/>
    </w:pPr>
    <w:rPr>
      <w:color w:val="2e74b5"/>
    </w:rPr>
  </w:style>
  <w:style w:type="paragraph" w:styleId="730">
    <w:name w:val="Heading 6"/>
    <w:basedOn w:val="724"/>
    <w:next w:val="724"/>
    <w:link w:val="756"/>
    <w:uiPriority w:val="9"/>
    <w:unhideWhenUsed/>
    <w:qFormat/>
    <w:pPr>
      <w:keepLines/>
      <w:keepNext/>
      <w:spacing w:before="40" w:after="0"/>
      <w:outlineLvl w:val="5"/>
    </w:pPr>
    <w:rPr>
      <w:color w:val="1f4e79"/>
    </w:rPr>
  </w:style>
  <w:style w:type="paragraph" w:styleId="731">
    <w:name w:val="Heading 7"/>
    <w:basedOn w:val="724"/>
    <w:next w:val="724"/>
    <w:link w:val="757"/>
    <w:uiPriority w:val="9"/>
    <w:unhideWhenUsed/>
    <w:qFormat/>
    <w:pPr>
      <w:keepLines/>
      <w:keepNext/>
      <w:spacing w:before="40" w:after="0"/>
      <w:outlineLvl w:val="6"/>
    </w:pPr>
    <w:rPr>
      <w:rFonts w:ascii="Calibri Light" w:hAnsi="Calibri Light" w:eastAsia="SimSun"/>
      <w:i/>
      <w:iCs/>
      <w:color w:val="1f4e79"/>
    </w:rPr>
  </w:style>
  <w:style w:type="paragraph" w:styleId="732">
    <w:name w:val="Heading 8"/>
    <w:basedOn w:val="724"/>
    <w:next w:val="724"/>
    <w:link w:val="758"/>
    <w:uiPriority w:val="9"/>
    <w:unhideWhenUsed/>
    <w:qFormat/>
    <w:pPr>
      <w:keepLines/>
      <w:keepNext/>
      <w:spacing w:before="40" w:after="0"/>
      <w:outlineLvl w:val="7"/>
    </w:pPr>
    <w:rPr>
      <w:color w:val="262626"/>
      <w:sz w:val="21"/>
      <w:szCs w:val="21"/>
    </w:rPr>
  </w:style>
  <w:style w:type="paragraph" w:styleId="733">
    <w:name w:val="Heading 9"/>
    <w:basedOn w:val="724"/>
    <w:next w:val="724"/>
    <w:link w:val="759"/>
    <w:uiPriority w:val="9"/>
    <w:unhideWhenUsed/>
    <w:qFormat/>
    <w:pPr>
      <w:keepLines/>
      <w:keepNext/>
      <w:spacing w:before="40" w:after="0"/>
      <w:outlineLvl w:val="8"/>
    </w:pPr>
    <w:rPr>
      <w:rFonts w:ascii="Calibri Light" w:hAnsi="Calibri Light" w:eastAsia="SimSun"/>
      <w:i/>
      <w:iCs/>
      <w:color w:val="262626"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Heading 2 Char"/>
    <w:uiPriority w:val="9"/>
    <w:rPr>
      <w:rFonts w:ascii="Arial" w:hAnsi="Arial" w:eastAsia="Arial" w:cs="Arial"/>
      <w:sz w:val="34"/>
    </w:rPr>
  </w:style>
  <w:style w:type="character" w:styleId="738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5" w:customStyle="1">
    <w:name w:val="Title Char"/>
    <w:uiPriority w:val="10"/>
    <w:rPr>
      <w:sz w:val="48"/>
      <w:szCs w:val="48"/>
    </w:rPr>
  </w:style>
  <w:style w:type="character" w:styleId="746" w:customStyle="1">
    <w:name w:val="Subtitle Char"/>
    <w:uiPriority w:val="11"/>
    <w:rPr>
      <w:sz w:val="24"/>
      <w:szCs w:val="24"/>
    </w:rPr>
  </w:style>
  <w:style w:type="character" w:styleId="747" w:customStyle="1">
    <w:name w:val="Quote Char"/>
    <w:uiPriority w:val="29"/>
    <w:rPr>
      <w:i/>
    </w:rPr>
  </w:style>
  <w:style w:type="character" w:styleId="748" w:customStyle="1">
    <w:name w:val="Intense Quote Char"/>
    <w:uiPriority w:val="30"/>
    <w:rPr>
      <w:i/>
    </w:rPr>
  </w:style>
  <w:style w:type="character" w:styleId="749" w:customStyle="1">
    <w:name w:val="Footnote Text Char"/>
    <w:uiPriority w:val="99"/>
    <w:rPr>
      <w:sz w:val="18"/>
    </w:rPr>
  </w:style>
  <w:style w:type="character" w:styleId="750" w:customStyle="1">
    <w:name w:val="Endnote Text Char"/>
    <w:uiPriority w:val="99"/>
    <w:rPr>
      <w:sz w:val="20"/>
    </w:rPr>
  </w:style>
  <w:style w:type="character" w:styleId="75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2" w:customStyle="1">
    <w:name w:val="Заголовок 2 Знак"/>
    <w:link w:val="726"/>
    <w:uiPriority w:val="9"/>
    <w:rPr>
      <w:rFonts w:ascii="Calibri Light" w:hAnsi="Calibri Light" w:eastAsia="SimSun" w:cs="Times New Roman"/>
      <w:color w:val="2e74b5"/>
      <w:sz w:val="28"/>
      <w:szCs w:val="28"/>
    </w:rPr>
  </w:style>
  <w:style w:type="character" w:styleId="753" w:customStyle="1">
    <w:name w:val="Заголовок 3 Знак"/>
    <w:link w:val="727"/>
    <w:uiPriority w:val="9"/>
    <w:rPr>
      <w:rFonts w:ascii="Calibri Light" w:hAnsi="Calibri Light" w:eastAsia="SimSun" w:cs="Times New Roman"/>
      <w:color w:val="1f4e79"/>
      <w:sz w:val="24"/>
      <w:szCs w:val="24"/>
    </w:rPr>
  </w:style>
  <w:style w:type="character" w:styleId="754" w:customStyle="1">
    <w:name w:val="Заголовок 4 Знак"/>
    <w:link w:val="728"/>
    <w:uiPriority w:val="9"/>
    <w:rPr>
      <w:i/>
      <w:iCs/>
    </w:rPr>
  </w:style>
  <w:style w:type="character" w:styleId="755" w:customStyle="1">
    <w:name w:val="Заголовок 5 Знак"/>
    <w:link w:val="729"/>
    <w:uiPriority w:val="9"/>
    <w:rPr>
      <w:color w:val="2e74b5"/>
    </w:rPr>
  </w:style>
  <w:style w:type="character" w:styleId="756" w:customStyle="1">
    <w:name w:val="Заголовок 6 Знак"/>
    <w:link w:val="730"/>
    <w:uiPriority w:val="9"/>
    <w:rPr>
      <w:color w:val="1f4e79"/>
    </w:rPr>
  </w:style>
  <w:style w:type="character" w:styleId="757" w:customStyle="1">
    <w:name w:val="Заголовок 7 Знак"/>
    <w:link w:val="731"/>
    <w:uiPriority w:val="9"/>
    <w:rPr>
      <w:rFonts w:ascii="Calibri Light" w:hAnsi="Calibri Light" w:eastAsia="SimSun" w:cs="Times New Roman"/>
      <w:i/>
      <w:iCs/>
      <w:color w:val="1f4e79"/>
    </w:rPr>
  </w:style>
  <w:style w:type="character" w:styleId="758" w:customStyle="1">
    <w:name w:val="Заголовок 8 Знак"/>
    <w:link w:val="732"/>
    <w:uiPriority w:val="9"/>
    <w:rPr>
      <w:color w:val="262626"/>
      <w:sz w:val="21"/>
      <w:szCs w:val="21"/>
    </w:rPr>
  </w:style>
  <w:style w:type="character" w:styleId="759" w:customStyle="1">
    <w:name w:val="Заголовок 9 Знак"/>
    <w:link w:val="733"/>
    <w:uiPriority w:val="9"/>
    <w:rPr>
      <w:rFonts w:ascii="Calibri Light" w:hAnsi="Calibri Light" w:eastAsia="SimSun" w:cs="Times New Roman"/>
      <w:i/>
      <w:iCs/>
      <w:color w:val="262626"/>
      <w:sz w:val="21"/>
      <w:szCs w:val="21"/>
    </w:rPr>
  </w:style>
  <w:style w:type="paragraph" w:styleId="760">
    <w:name w:val="List Paragraph"/>
    <w:basedOn w:val="724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rPr>
      <w:sz w:val="22"/>
      <w:szCs w:val="22"/>
      <w:lang w:eastAsia="zh-CN"/>
    </w:rPr>
  </w:style>
  <w:style w:type="paragraph" w:styleId="762">
    <w:name w:val="Title"/>
    <w:basedOn w:val="724"/>
    <w:next w:val="724"/>
    <w:link w:val="763"/>
    <w:uiPriority w:val="10"/>
    <w:qFormat/>
    <w:pPr>
      <w:contextualSpacing/>
      <w:spacing w:after="0" w:line="240" w:lineRule="auto"/>
    </w:pPr>
    <w:rPr>
      <w:rFonts w:ascii="Calibri Light" w:hAnsi="Calibri Light" w:eastAsia="SimSun"/>
      <w:spacing w:val="-10"/>
      <w:sz w:val="56"/>
      <w:szCs w:val="56"/>
    </w:rPr>
  </w:style>
  <w:style w:type="character" w:styleId="763" w:customStyle="1">
    <w:name w:val="Название Знак"/>
    <w:link w:val="762"/>
    <w:uiPriority w:val="10"/>
    <w:rPr>
      <w:rFonts w:ascii="Calibri Light" w:hAnsi="Calibri Light" w:eastAsia="SimSun" w:cs="Times New Roman"/>
      <w:spacing w:val="-10"/>
      <w:sz w:val="56"/>
      <w:szCs w:val="56"/>
    </w:rPr>
  </w:style>
  <w:style w:type="paragraph" w:styleId="764">
    <w:name w:val="Subtitle"/>
    <w:basedOn w:val="724"/>
    <w:next w:val="724"/>
    <w:link w:val="765"/>
    <w:uiPriority w:val="11"/>
    <w:qFormat/>
    <w:pPr>
      <w:numPr>
        <w:ilvl w:val="1"/>
      </w:numPr>
    </w:pPr>
    <w:rPr>
      <w:color w:val="5a5a5a"/>
      <w:spacing w:val="15"/>
    </w:rPr>
  </w:style>
  <w:style w:type="character" w:styleId="765" w:customStyle="1">
    <w:name w:val="Подзаголовок Знак"/>
    <w:link w:val="764"/>
    <w:uiPriority w:val="11"/>
    <w:rPr>
      <w:color w:val="5a5a5a"/>
      <w:spacing w:val="15"/>
    </w:rPr>
  </w:style>
  <w:style w:type="paragraph" w:styleId="766">
    <w:name w:val="Quote"/>
    <w:basedOn w:val="724"/>
    <w:next w:val="724"/>
    <w:link w:val="767"/>
    <w:uiPriority w:val="29"/>
    <w:qFormat/>
    <w:pPr>
      <w:ind w:left="864" w:right="864"/>
      <w:spacing w:before="200"/>
    </w:pPr>
    <w:rPr>
      <w:i/>
      <w:iCs/>
      <w:color w:val="404040"/>
    </w:rPr>
  </w:style>
  <w:style w:type="character" w:styleId="767" w:customStyle="1">
    <w:name w:val="Цитата 2 Знак"/>
    <w:link w:val="766"/>
    <w:uiPriority w:val="29"/>
    <w:rPr>
      <w:i/>
      <w:iCs/>
      <w:color w:val="404040"/>
    </w:rPr>
  </w:style>
  <w:style w:type="paragraph" w:styleId="768">
    <w:name w:val="Intense Quote"/>
    <w:basedOn w:val="724"/>
    <w:next w:val="724"/>
    <w:link w:val="769"/>
    <w:uiPriority w:val="30"/>
    <w:qFormat/>
    <w:pPr>
      <w:ind w:left="864" w:right="864"/>
      <w:jc w:val="center"/>
      <w:spacing w:before="360" w:after="360"/>
      <w:pBdr>
        <w:top w:val="single" w:color="5B9BD5" w:sz="4" w:space="10"/>
        <w:bottom w:val="single" w:color="5B9BD5" w:sz="4" w:space="10"/>
      </w:pBdr>
    </w:pPr>
    <w:rPr>
      <w:i/>
      <w:iCs/>
      <w:color w:val="5b9bd5"/>
    </w:rPr>
  </w:style>
  <w:style w:type="character" w:styleId="769" w:customStyle="1">
    <w:name w:val="Выделенная цитата Знак"/>
    <w:link w:val="768"/>
    <w:uiPriority w:val="30"/>
    <w:rPr>
      <w:i/>
      <w:iCs/>
      <w:color w:val="5b9bd5"/>
    </w:rPr>
  </w:style>
  <w:style w:type="paragraph" w:styleId="770">
    <w:name w:val="Header"/>
    <w:basedOn w:val="724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771" w:customStyle="1">
    <w:name w:val="Header Char"/>
    <w:uiPriority w:val="99"/>
  </w:style>
  <w:style w:type="paragraph" w:styleId="772">
    <w:name w:val="Footer"/>
    <w:basedOn w:val="724"/>
    <w:link w:val="9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773" w:customStyle="1">
    <w:name w:val="Footer Char"/>
    <w:uiPriority w:val="99"/>
  </w:style>
  <w:style w:type="paragraph" w:styleId="774">
    <w:name w:val="Caption"/>
    <w:basedOn w:val="724"/>
    <w:next w:val="724"/>
    <w:uiPriority w:val="35"/>
    <w:semiHidden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775" w:customStyle="1">
    <w:name w:val="Caption Char"/>
    <w:uiPriority w:val="99"/>
  </w:style>
  <w:style w:type="table" w:styleId="776">
    <w:name w:val="Table Grid"/>
    <w:basedOn w:val="735"/>
    <w:uiPriority w:val="59"/>
    <w:tblPr/>
  </w:style>
  <w:style w:type="table" w:styleId="777" w:customStyle="1">
    <w:name w:val="Table Grid Light"/>
    <w:uiPriority w:val="59"/>
    <w:pPr>
      <w:spacing w:after="160" w:line="259" w:lineRule="auto"/>
    </w:pPr>
    <w:rPr>
      <w:sz w:val="22"/>
      <w:szCs w:val="22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uiPriority w:val="59"/>
    <w:pPr>
      <w:spacing w:after="160" w:line="259" w:lineRule="auto"/>
    </w:pPr>
    <w:rPr>
      <w:sz w:val="22"/>
      <w:szCs w:val="22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2"/>
    <w:uiPriority w:val="59"/>
    <w:pPr>
      <w:spacing w:after="160" w:line="259" w:lineRule="auto"/>
    </w:pPr>
    <w:rPr>
      <w:sz w:val="22"/>
      <w:szCs w:val="22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Plain Table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Plain Table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1 Light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4"/>
    <w:uiPriority w:val="5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1"/>
    <w:uiPriority w:val="5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2"/>
    <w:uiPriority w:val="5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3"/>
    <w:uiPriority w:val="5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4"/>
    <w:uiPriority w:val="5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5"/>
    <w:uiPriority w:val="5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6"/>
    <w:uiPriority w:val="5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5 Dark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Grid Table 6 Colorful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7 Colorful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1 Light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5 Dark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List Table 6 Colorful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7 Colorful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1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2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3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4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5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6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1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2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3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4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5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6"/>
    <w:uiPriority w:val="99"/>
    <w:pPr>
      <w:spacing w:after="160" w:line="259" w:lineRule="auto"/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1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2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3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4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5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6"/>
    <w:uiPriority w:val="99"/>
    <w:pPr>
      <w:spacing w:after="160" w:line="259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2">
    <w:name w:val="Hyperlink"/>
    <w:link w:val="931"/>
    <w:unhideWhenUsed/>
    <w:rPr>
      <w:color w:val="0000ff"/>
      <w:u w:val="single"/>
    </w:rPr>
  </w:style>
  <w:style w:type="paragraph" w:styleId="903">
    <w:name w:val="footnote text"/>
    <w:basedOn w:val="724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uiPriority w:val="99"/>
    <w:unhideWhenUsed/>
    <w:rPr>
      <w:vertAlign w:val="superscript"/>
    </w:rPr>
  </w:style>
  <w:style w:type="paragraph" w:styleId="906">
    <w:name w:val="endnote text"/>
    <w:basedOn w:val="724"/>
    <w:link w:val="907"/>
    <w:uiPriority w:val="99"/>
    <w:semiHidden/>
    <w:unhideWhenUsed/>
    <w:pPr>
      <w:spacing w:after="0" w:line="240" w:lineRule="auto"/>
    </w:pPr>
    <w:rPr>
      <w:sz w:val="20"/>
    </w:r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uiPriority w:val="99"/>
    <w:semiHidden/>
    <w:unhideWhenUsed/>
    <w:rPr>
      <w:vertAlign w:val="superscript"/>
    </w:rPr>
  </w:style>
  <w:style w:type="paragraph" w:styleId="909">
    <w:name w:val="toc 1"/>
    <w:basedOn w:val="724"/>
    <w:next w:val="724"/>
    <w:uiPriority w:val="39"/>
    <w:unhideWhenUsed/>
    <w:pPr>
      <w:spacing w:after="57"/>
    </w:pPr>
  </w:style>
  <w:style w:type="paragraph" w:styleId="910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911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912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913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14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15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16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17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18">
    <w:name w:val="TOC Heading"/>
    <w:basedOn w:val="725"/>
    <w:next w:val="724"/>
    <w:uiPriority w:val="39"/>
    <w:unhideWhenUsed/>
    <w:qFormat/>
    <w:pPr>
      <w:outlineLvl w:val="9"/>
    </w:pPr>
  </w:style>
  <w:style w:type="paragraph" w:styleId="919">
    <w:name w:val="table of figures"/>
    <w:basedOn w:val="724"/>
    <w:next w:val="724"/>
    <w:uiPriority w:val="99"/>
    <w:unhideWhenUsed/>
    <w:pPr>
      <w:spacing w:after="0"/>
    </w:pPr>
  </w:style>
  <w:style w:type="paragraph" w:styleId="920" w:customStyle="1">
    <w:name w:val="doc_link"/>
    <w:basedOn w:val="72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1" w:customStyle="1">
    <w:name w:val="Верхний колонтитул Знак"/>
    <w:link w:val="770"/>
    <w:uiPriority w:val="99"/>
    <w:rPr>
      <w:rFonts w:ascii="Calibri" w:hAnsi="Calibri" w:eastAsia="Calibri" w:cs="Times New Roman"/>
    </w:rPr>
  </w:style>
  <w:style w:type="character" w:styleId="922" w:customStyle="1">
    <w:name w:val="Нижний колонтитул Знак"/>
    <w:link w:val="772"/>
    <w:uiPriority w:val="99"/>
    <w:rPr>
      <w:rFonts w:ascii="Calibri" w:hAnsi="Calibri" w:eastAsia="Calibri" w:cs="Times New Roman"/>
    </w:rPr>
  </w:style>
  <w:style w:type="paragraph" w:styleId="923">
    <w:name w:val="Normal (Web)"/>
    <w:basedOn w:val="72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4" w:customStyle="1">
    <w:name w:val="formattext"/>
    <w:basedOn w:val="72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5" w:customStyle="1">
    <w:name w:val="Заголовок 1 Знак"/>
    <w:link w:val="725"/>
    <w:uiPriority w:val="9"/>
    <w:rPr>
      <w:rFonts w:ascii="Calibri Light" w:hAnsi="Calibri Light" w:eastAsia="SimSun" w:cs="Times New Roman"/>
      <w:color w:val="2e74b5"/>
      <w:sz w:val="32"/>
      <w:szCs w:val="32"/>
    </w:rPr>
  </w:style>
  <w:style w:type="paragraph" w:styleId="926">
    <w:name w:val="Balloon Text"/>
    <w:basedOn w:val="724"/>
    <w:link w:val="92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27" w:customStyle="1">
    <w:name w:val="Текст выноски Знак"/>
    <w:link w:val="926"/>
    <w:uiPriority w:val="99"/>
    <w:semiHidden/>
    <w:rPr>
      <w:rFonts w:ascii="Tahoma" w:hAnsi="Tahoma" w:eastAsia="Calibri" w:cs="Tahoma"/>
      <w:sz w:val="16"/>
      <w:szCs w:val="16"/>
    </w:rPr>
  </w:style>
  <w:style w:type="paragraph" w:styleId="928" w:customStyle="1">
    <w:name w:val="ConsPlusNormal"/>
    <w:pPr>
      <w:spacing w:after="160" w:line="259" w:lineRule="auto"/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929" w:customStyle="1">
    <w:name w:val="Название;Заголовок"/>
    <w:basedOn w:val="724"/>
    <w:link w:val="930"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  <w:lang w:val="en-US"/>
    </w:rPr>
  </w:style>
  <w:style w:type="character" w:styleId="930" w:customStyle="1">
    <w:name w:val="Название Знак;Заголовок Знак"/>
    <w:link w:val="929"/>
    <w:rPr>
      <w:rFonts w:ascii="Times New Roman" w:hAnsi="Times New Roman" w:eastAsia="Times New Roman" w:cs="Times New Roman"/>
      <w:b/>
      <w:bCs/>
      <w:sz w:val="28"/>
      <w:szCs w:val="24"/>
      <w:lang w:val="en-US" w:eastAsia="en-US"/>
    </w:rPr>
  </w:style>
  <w:style w:type="character" w:styleId="931" w:customStyle="1">
    <w:name w:val="Гиперссылка1"/>
    <w:link w:val="902"/>
    <w:rPr>
      <w:color w:val="0000ff"/>
      <w:u w:val="single"/>
    </w:rPr>
  </w:style>
  <w:style w:type="character" w:styleId="932">
    <w:name w:val="Strong"/>
    <w:uiPriority w:val="22"/>
    <w:qFormat/>
    <w:rPr>
      <w:b/>
      <w:bCs/>
      <w:color w:val="auto"/>
    </w:rPr>
  </w:style>
  <w:style w:type="character" w:styleId="933">
    <w:name w:val="Emphasis"/>
    <w:uiPriority w:val="20"/>
    <w:qFormat/>
    <w:rPr>
      <w:i/>
      <w:iCs/>
      <w:color w:val="auto"/>
    </w:rPr>
  </w:style>
  <w:style w:type="character" w:styleId="934">
    <w:name w:val="Subtle Emphasis"/>
    <w:uiPriority w:val="19"/>
    <w:qFormat/>
    <w:rPr>
      <w:i/>
      <w:iCs/>
      <w:color w:val="404040"/>
    </w:rPr>
  </w:style>
  <w:style w:type="character" w:styleId="935">
    <w:name w:val="Intense Emphasis"/>
    <w:uiPriority w:val="21"/>
    <w:qFormat/>
    <w:rPr>
      <w:i/>
      <w:iCs/>
      <w:color w:val="5b9bd5"/>
    </w:rPr>
  </w:style>
  <w:style w:type="character" w:styleId="936">
    <w:name w:val="Subtle Reference"/>
    <w:uiPriority w:val="31"/>
    <w:qFormat/>
    <w:rPr>
      <w:smallCaps/>
      <w:color w:val="404040"/>
    </w:rPr>
  </w:style>
  <w:style w:type="character" w:styleId="937">
    <w:name w:val="Intense Reference"/>
    <w:uiPriority w:val="32"/>
    <w:qFormat/>
    <w:rPr>
      <w:b/>
      <w:bCs/>
      <w:smallCaps/>
      <w:color w:val="5b9bd5"/>
      <w:spacing w:val="5"/>
    </w:rPr>
  </w:style>
  <w:style w:type="character" w:styleId="938">
    <w:name w:val="Book Title"/>
    <w:uiPriority w:val="33"/>
    <w:qFormat/>
    <w:rPr>
      <w:b/>
      <w:bCs/>
      <w:i/>
      <w:iCs/>
      <w:spacing w:val="5"/>
    </w:rPr>
  </w:style>
  <w:style w:type="paragraph" w:styleId="939" w:customStyle="1">
    <w:name w:val="headertext"/>
    <w:basedOn w:val="72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fcoz.ru/zakonodatelstvo-ob-obrazovanii/ezhemesyachnye-obzory-zakonodatelstva-ob-obrazovanii/detail.php?ELEMENT_ID=22098" TargetMode="External"/><Relationship Id="rId12" Type="http://schemas.openxmlformats.org/officeDocument/2006/relationships/hyperlink" Target="https://fcoz.ru/zakonodatelstvo-ob-obrazovanii/ezhemesyachnye-obzory-zakonodatelstva-ob-obrazovanii/detail.php?ELEMENT_ID=22105" TargetMode="External"/><Relationship Id="rId13" Type="http://schemas.openxmlformats.org/officeDocument/2006/relationships/hyperlink" Target="https://rulaws.ru/koap/Razdel-II/Glava-19/Statya-19.2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255A5-FDDD-465E-8102-AD84BF71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428</cp:revision>
  <dcterms:created xsi:type="dcterms:W3CDTF">2022-08-17T12:20:00Z</dcterms:created>
  <dcterms:modified xsi:type="dcterms:W3CDTF">2024-08-15T08:42:43Z</dcterms:modified>
  <cp:version>983040</cp:version>
</cp:coreProperties>
</file>