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A5" w:rsidRDefault="00CB47A5" w:rsidP="003D4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B4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3D4676" w:rsidRPr="00CB47A5" w:rsidRDefault="00CB47A5" w:rsidP="003D4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4676" w:rsidRPr="00CB4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CB4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правилах оформления и требованиях к документам для упрощения процедуры подачи обращений пользователями</w:t>
      </w:r>
    </w:p>
    <w:p w:rsidR="003D4676" w:rsidRPr="003D4676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76" w:rsidRPr="003D4676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3D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Общие положения</w:t>
      </w:r>
    </w:p>
    <w:p w:rsidR="003D4676" w:rsidRPr="003D4676" w:rsidRDefault="00CB47A5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Рекомендации 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единый порядок рассмотрения, регистрации и учета обращений граждан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министерстве образования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4676" w:rsidRPr="003D4676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разработано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3D4676" w:rsidRPr="003D4676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1.3. Рассмотрение обращений граждан в медицинской организации регламентируется</w:t>
      </w:r>
      <w:r w:rsidRPr="003D4676">
        <w:rPr>
          <w:rFonts w:ascii="Times New Roman" w:eastAsia="Times New Roman" w:hAnsi="Times New Roman" w:cs="Times New Roman"/>
        </w:rPr>
        <w:br/>
      </w: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следующими нормативными правовыми актами:</w:t>
      </w:r>
    </w:p>
    <w:p w:rsidR="00B419AD" w:rsidRDefault="003D4676" w:rsidP="003D467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A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B419AD" w:rsidRDefault="003D4676" w:rsidP="003D467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A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27.07.2006 № 149-ФЗ «Об информации, информационных тех</w:t>
      </w:r>
      <w:r w:rsidR="00CB47A5"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нологиях и о защите информации».</w:t>
      </w:r>
    </w:p>
    <w:p w:rsidR="003D4676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К обращениям </w:t>
      </w:r>
      <w:r w:rsidR="00A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</w:t>
      </w: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относятся </w:t>
      </w:r>
      <w:r w:rsidR="00232FCD" w:rsidRPr="00232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изложенные в письменной, устной и электронной форме </w:t>
      </w: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предложения, заявл</w:t>
      </w:r>
      <w:r w:rsidR="00A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ения, жалобы физических </w:t>
      </w:r>
      <w:r w:rsidR="00232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юридических </w:t>
      </w:r>
      <w:r w:rsidR="00A4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</w:t>
      </w:r>
      <w:r w:rsidR="00232F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поступившие:</w:t>
      </w:r>
    </w:p>
    <w:p w:rsidR="00232FCD" w:rsidRDefault="00232FCD" w:rsidP="00232FC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от заявителя;</w:t>
      </w:r>
    </w:p>
    <w:p w:rsidR="00232FCD" w:rsidRDefault="00232FCD" w:rsidP="00232FC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сторонней организации;</w:t>
      </w:r>
    </w:p>
    <w:p w:rsidR="00232FCD" w:rsidRDefault="00232FCD" w:rsidP="00232FC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государственных органов;</w:t>
      </w:r>
    </w:p>
    <w:p w:rsidR="00232FCD" w:rsidRPr="00232FCD" w:rsidRDefault="00232FCD" w:rsidP="00232FC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средства массовой информации и социальных сетей.</w:t>
      </w:r>
    </w:p>
    <w:p w:rsidR="003D4676" w:rsidRPr="003D4676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="002E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лицо за </w:t>
      </w:r>
      <w:r w:rsidR="00B4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делопроизводства и </w:t>
      </w:r>
      <w:r w:rsidR="002E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порядка по рассмотрению обращений граждан </w:t>
      </w:r>
      <w:r w:rsidR="002E54E6" w:rsidRPr="00023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00872">
        <w:rPr>
          <w:rFonts w:ascii="Times New Roman" w:eastAsia="Times New Roman" w:hAnsi="Times New Roman" w:cs="Times New Roman"/>
          <w:color w:val="000000"/>
          <w:sz w:val="24"/>
          <w:szCs w:val="24"/>
        </w:rPr>
        <w:t>Качалов И.И., референт министра образования Белгородской области.</w:t>
      </w:r>
    </w:p>
    <w:p w:rsidR="000D0EEF" w:rsidRPr="00B419AD" w:rsidRDefault="00B419AD" w:rsidP="000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1.6. </w:t>
      </w:r>
      <w:r w:rsidR="000D0EEF" w:rsidRPr="00B419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реализации прав граждан на обращение в </w:t>
      </w:r>
      <w:r w:rsidR="005008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министерство образования </w:t>
      </w:r>
      <w:r w:rsidR="000D0EEF" w:rsidRPr="00B419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обеспечивается:</w:t>
      </w:r>
    </w:p>
    <w:p w:rsidR="000D0EEF" w:rsidRPr="000D0EEF" w:rsidRDefault="000D0EEF" w:rsidP="000D0E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граждан об их праве на обращение;</w:t>
      </w:r>
    </w:p>
    <w:p w:rsidR="000D0EEF" w:rsidRPr="000D0EEF" w:rsidRDefault="000D0EEF" w:rsidP="000D0E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и учет поступивших обращений;</w:t>
      </w:r>
    </w:p>
    <w:p w:rsidR="000D0EEF" w:rsidRPr="000D0EEF" w:rsidRDefault="000D0EEF" w:rsidP="000D0E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поступивших обращений;</w:t>
      </w:r>
    </w:p>
    <w:p w:rsidR="000D0EEF" w:rsidRPr="000D0EEF" w:rsidRDefault="000D0EEF" w:rsidP="000D0E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необходимых мер по результатам рассмотрения обращений;</w:t>
      </w:r>
    </w:p>
    <w:p w:rsidR="000D0EEF" w:rsidRPr="000D0EEF" w:rsidRDefault="000D0EEF" w:rsidP="000D0E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направление ответов заявителям;</w:t>
      </w:r>
    </w:p>
    <w:p w:rsidR="000D0EEF" w:rsidRDefault="000D0EEF" w:rsidP="000D0E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анализа поступивших обращений и разработка мероприятий по устранению причин, вызвавших обращения.</w:t>
      </w:r>
    </w:p>
    <w:p w:rsidR="00B419AD" w:rsidRPr="00B419AD" w:rsidRDefault="00B419AD" w:rsidP="00B41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</w:t>
      </w:r>
      <w:r w:rsidRPr="00B419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дело по рассмотрению обращения гражданина входят:</w:t>
      </w:r>
    </w:p>
    <w:p w:rsidR="00B419AD" w:rsidRPr="00B419AD" w:rsidRDefault="00B419AD" w:rsidP="00B41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обращение гражданина;</w:t>
      </w:r>
    </w:p>
    <w:p w:rsidR="00B419AD" w:rsidRPr="00B419AD" w:rsidRDefault="00B419AD" w:rsidP="00B41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A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по рассмотрению обращения;</w:t>
      </w:r>
    </w:p>
    <w:p w:rsidR="00B419AD" w:rsidRPr="00B419AD" w:rsidRDefault="00B419AD" w:rsidP="00B41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AD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ответа заявителю.</w:t>
      </w:r>
    </w:p>
    <w:p w:rsidR="000D0EEF" w:rsidRPr="000D0EEF" w:rsidRDefault="00B419AD" w:rsidP="000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</w:t>
      </w:r>
      <w:r w:rsidR="000D0EEF"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поступившие в письменной форме или по электронной почте обращения граждан (заявителей), подлежат обязательной регистрации в день их поступления в </w:t>
      </w:r>
      <w:r w:rsidR="0050087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</w:t>
      </w:r>
      <w:r w:rsidR="000D0EEF"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0EEF" w:rsidRPr="000D0EEF" w:rsidRDefault="00B419AD" w:rsidP="000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</w:t>
      </w:r>
      <w:r w:rsidR="000D0EEF"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хранения дел по обращениям граждан в медицинской организации составляет 5 лет с даты регистрации обращения.</w:t>
      </w:r>
    </w:p>
    <w:p w:rsidR="0080740A" w:rsidRDefault="00496F6F" w:rsidP="000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и у</w:t>
      </w:r>
      <w:r w:rsidR="000D0EEF"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чет обращений, поступивших в письменной форме или по электронной почте,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едется</w:t>
      </w:r>
      <w:r w:rsidR="000D0EEF"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журнале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учета </w:t>
      </w:r>
      <w:r w:rsidR="000D0EEF"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обращений граждан. Ответственность за ведение журнала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учета </w:t>
      </w:r>
      <w:r w:rsidR="000D0EEF"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0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ращений граждан возлагается </w:t>
      </w:r>
      <w:r w:rsidR="0080740A" w:rsidRPr="0002335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00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референта министра образования Белгородской области</w:t>
      </w:r>
      <w:r w:rsidR="000D0EEF" w:rsidRPr="000233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0EEF" w:rsidRPr="000D0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740A" w:rsidRDefault="0080740A" w:rsidP="000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1.10. Журнал регистрации </w:t>
      </w:r>
      <w:r w:rsidR="00496F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учета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обращений</w:t>
      </w:r>
      <w:r w:rsidR="00A35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D0EEF" w:rsidRPr="0080740A" w:rsidRDefault="000D0EEF" w:rsidP="000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журнале регистрации </w:t>
      </w:r>
      <w:r w:rsidR="004A1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учета </w:t>
      </w:r>
      <w:r w:rsidRPr="008074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обращений граждан в хронологическом порядке фиксируются:</w:t>
      </w:r>
    </w:p>
    <w:p w:rsidR="00020389" w:rsidRPr="00020389" w:rsidRDefault="00020389" w:rsidP="000203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порядковый номер;</w:t>
      </w:r>
    </w:p>
    <w:p w:rsidR="00020389" w:rsidRPr="00020389" w:rsidRDefault="00020389" w:rsidP="000203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поступления обращения, дата и номер регистрации;</w:t>
      </w:r>
    </w:p>
    <w:p w:rsidR="00020389" w:rsidRPr="00020389" w:rsidRDefault="00020389" w:rsidP="000203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ФИО, телефон и адрес места жительства заявителя/наименование организации, направившей обращение;</w:t>
      </w:r>
    </w:p>
    <w:p w:rsidR="00020389" w:rsidRPr="00020389" w:rsidRDefault="00020389" w:rsidP="000203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содержание (повод) обращения;</w:t>
      </w:r>
    </w:p>
    <w:p w:rsidR="00020389" w:rsidRPr="00020389" w:rsidRDefault="00020389" w:rsidP="000203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(жалоба, заявление, обращение, благодарность);</w:t>
      </w:r>
    </w:p>
    <w:p w:rsidR="00020389" w:rsidRPr="00020389" w:rsidRDefault="00020389" w:rsidP="000203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вид нарушения (качество, доступность, своевременность оказания</w:t>
      </w:r>
      <w:r w:rsidR="00500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</w:t>
      </w: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20389" w:rsidRPr="00020389" w:rsidRDefault="00020389" w:rsidP="000203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обоснованность обращения (обоснованно, не обоснованно, частично обоснованно)</w:t>
      </w:r>
    </w:p>
    <w:p w:rsidR="00020389" w:rsidRPr="00020389" w:rsidRDefault="00020389" w:rsidP="000203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принятые меры;</w:t>
      </w:r>
    </w:p>
    <w:p w:rsidR="00020389" w:rsidRPr="00020389" w:rsidRDefault="00020389" w:rsidP="000203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38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номер регистрации ответа на обращение.</w:t>
      </w:r>
    </w:p>
    <w:p w:rsidR="000D0EEF" w:rsidRPr="000D0EEF" w:rsidRDefault="000D0EEF" w:rsidP="000D0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Все поступившие в </w:t>
      </w:r>
      <w:r w:rsidR="00B80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министерство </w:t>
      </w:r>
      <w:r w:rsidRPr="000D0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обращения граждан подлежат рассмотрению, за исключением анонимных обращений (обращений, не содержащих фамилии и адреса заявителя).</w:t>
      </w:r>
      <w:r w:rsidRPr="00A4684F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br/>
      </w:r>
      <w:r w:rsidRPr="00023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анализа поступивших обращений ежеквартально и по итогам года предоставляются руководителю </w:t>
      </w:r>
      <w:r w:rsidR="00B80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министерства и размещаются на сайте министерства в специальном разделе </w:t>
      </w:r>
      <w:hyperlink r:id="rId5" w:history="1">
        <w:r w:rsidR="00144CF0" w:rsidRPr="00F46BE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https://obr.belregion.ru/dokumenty/informacionnye-materialy/?rb=14&amp;rb=14&amp;rb=28&amp;order=creation_date_desc</w:t>
        </w:r>
      </w:hyperlink>
      <w:r w:rsidR="0014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4676" w:rsidRPr="003D4676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3D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Требования к порядку информирования граждан о приеме обращений</w:t>
      </w:r>
    </w:p>
    <w:p w:rsidR="004F7E36" w:rsidRPr="004F7E36" w:rsidRDefault="003D4676" w:rsidP="004F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4F7E36" w:rsidRPr="004F7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Информирование граждан об их праве на обращение обеспечивается путем размещения в доступном для граждан месте оформленной в печатном виде информации:</w:t>
      </w:r>
    </w:p>
    <w:p w:rsidR="00C61ADF" w:rsidRDefault="00C61ADF" w:rsidP="004F7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почтовом и юридическом адресе </w:t>
      </w:r>
      <w:r w:rsidR="00D50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C61ADF" w:rsidRDefault="00C61ADF" w:rsidP="004F7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номерах телефонов для справок, адресах электронной почты, адресах официального сайта </w:t>
      </w:r>
      <w:r w:rsidR="00D50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4F7E36" w:rsidRPr="00C61ADF" w:rsidRDefault="004F7E36" w:rsidP="00C61A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7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о фамилии, имени, отчестве, должности, номере кабинета, графике работы, телефоне должностных лиц учреждения, к которым могут обратиться граждане в случае возникновения претензий </w:t>
      </w:r>
      <w:r w:rsidR="00C61A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оказании </w:t>
      </w:r>
      <w:r w:rsidR="00D50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</w:t>
      </w:r>
      <w:r w:rsidRPr="00C61A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4F7E36" w:rsidRPr="004F7E36" w:rsidRDefault="004F7E36" w:rsidP="004F7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7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графике личного приема граждан руководителем </w:t>
      </w:r>
      <w:r w:rsidR="00D50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</w:t>
      </w:r>
      <w:r w:rsidRPr="004F7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4F7E36" w:rsidRDefault="004F7E36" w:rsidP="004F7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7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адресах и телефонах контр</w:t>
      </w:r>
      <w:r w:rsidR="00C61A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олирующих органов и организаций;</w:t>
      </w:r>
    </w:p>
    <w:p w:rsidR="004F7E36" w:rsidRPr="004A18C1" w:rsidRDefault="00C61ADF" w:rsidP="003D46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порядке рассмотрения обращения граждан.</w:t>
      </w:r>
    </w:p>
    <w:p w:rsidR="00414309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2.3. Для получения информации о порядке рассмотрения обращений</w:t>
      </w:r>
      <w:r w:rsidR="006E7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граждане обращаются в </w:t>
      </w:r>
      <w:r w:rsidR="00D50F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</w:t>
      </w: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0FA0" w:rsidRDefault="00414309" w:rsidP="00731F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309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</w:t>
      </w:r>
      <w:r w:rsidR="00D50F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47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0FA0" w:rsidRPr="00D50FA0">
        <w:t>308005, г. Белгород, Соборная пл., 4</w:t>
      </w:r>
    </w:p>
    <w:p w:rsidR="00F22A2B" w:rsidRPr="00D50FA0" w:rsidRDefault="003D4676" w:rsidP="00731F8D">
      <w:pPr>
        <w:rPr>
          <w:rFonts w:cs="Helvetica"/>
          <w:color w:val="434345"/>
          <w:sz w:val="23"/>
          <w:szCs w:val="23"/>
          <w:shd w:val="clear" w:color="auto" w:fill="FFFFFF"/>
        </w:rPr>
      </w:pP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</w:t>
      </w:r>
      <w:r w:rsidR="006E7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</w:t>
      </w:r>
      <w:r w:rsidR="00414309">
        <w:rPr>
          <w:rFonts w:ascii="Times New Roman" w:eastAsia="Times New Roman" w:hAnsi="Times New Roman" w:cs="Times New Roman"/>
          <w:color w:val="000000"/>
          <w:sz w:val="24"/>
          <w:szCs w:val="24"/>
        </w:rPr>
        <w:t>ефону</w:t>
      </w:r>
      <w:r w:rsidR="00D5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«горячей линии» 8 (4722) 32-30-44</w:t>
      </w:r>
      <w:r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 электронной почте</w:t>
      </w:r>
      <w:r w:rsidR="006E7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D50FA0" w:rsidRPr="00F46BE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beluno</w:t>
        </w:r>
        <w:r w:rsidR="00D50FA0" w:rsidRPr="00D50FA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D50FA0" w:rsidRPr="00F46BE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belregion</w:t>
        </w:r>
        <w:r w:rsidR="00D50FA0" w:rsidRPr="00D50FA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50FA0" w:rsidRPr="00F46BE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0FA0" w:rsidRPr="00D50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55CA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3D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Работа с обращениями граждан, поступившими на официальный сайт </w:t>
      </w:r>
      <w:r w:rsidR="00A3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министерства или социальные сети</w:t>
      </w:r>
    </w:p>
    <w:p w:rsidR="003D4676" w:rsidRPr="003D4676" w:rsidRDefault="00A355CA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.1. Обращен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граждан, поступившие на сайт/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</w:t>
      </w:r>
      <w:r w:rsidR="00C10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интернет-приёмная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«отзыв», не являются официальными обращениями и не требуют регистрации в Журнале регистрации </w:t>
      </w:r>
      <w:r w:rsidR="00F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учета 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C10B94">
        <w:rPr>
          <w:rFonts w:ascii="Times New Roman" w:eastAsia="Times New Roman" w:hAnsi="Times New Roman" w:cs="Times New Roman"/>
          <w:color w:val="000000"/>
          <w:sz w:val="24"/>
          <w:szCs w:val="24"/>
        </w:rPr>
        <w:t>ащений граждан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, но требуют обязательного рассмотрения.</w:t>
      </w:r>
    </w:p>
    <w:p w:rsidR="003D4676" w:rsidRPr="003D4676" w:rsidRDefault="00A355CA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.2. Рассмотрение обращений граждан</w:t>
      </w:r>
      <w:r w:rsidR="00C10B94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поступивших на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соцсети</w:t>
      </w:r>
      <w:proofErr w:type="spellEnd"/>
      <w:r w:rsidR="00C10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интернет-приёмная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», «отзыв», возлагается на руководителей структурных подразделений, к компетенции которых относятся вопросы, поставленные в обращении.</w:t>
      </w:r>
    </w:p>
    <w:p w:rsidR="003D4676" w:rsidRPr="003D4676" w:rsidRDefault="00A355CA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C10B94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рассмотрения </w:t>
      </w:r>
      <w:r w:rsidR="00C10B9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 обращений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 часа (в зависимости от сложности обращения) до 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со дня поступления обращения.</w:t>
      </w:r>
    </w:p>
    <w:p w:rsidR="00F91FBB" w:rsidRPr="00B409BA" w:rsidRDefault="00A355CA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.4. Результаты рассмотрения обращений граждан, поступив</w:t>
      </w:r>
      <w:r w:rsidR="00C10B94">
        <w:rPr>
          <w:rFonts w:ascii="Times New Roman" w:eastAsia="Times New Roman" w:hAnsi="Times New Roman" w:cs="Times New Roman"/>
          <w:color w:val="000000"/>
          <w:sz w:val="24"/>
          <w:szCs w:val="24"/>
        </w:rPr>
        <w:t>ших на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соцсети</w:t>
      </w:r>
      <w:proofErr w:type="spellEnd"/>
      <w:r w:rsidR="00C10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министерства в разделы 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интернет-приёмная</w:t>
      </w:r>
      <w:r w:rsidR="003D4676" w:rsidRPr="003D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«отзыв», в зависимости от волеизъявления заявителя публично размещаются на сайте или отправляются по электронной почте </w:t>
      </w:r>
      <w:r w:rsidR="00C10B9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 ответственным за рассмотрение обращения граждан.</w:t>
      </w:r>
    </w:p>
    <w:p w:rsidR="00F91FBB" w:rsidRDefault="00F91FBB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1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A35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F91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Анкетирование.</w:t>
      </w:r>
    </w:p>
    <w:p w:rsidR="00F91FBB" w:rsidRDefault="00A355CA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Оценка удовлетворенности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заявителей </w:t>
      </w:r>
      <w:r w:rsidR="00A6668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сервиса</w:t>
      </w:r>
      <w:r w:rsidR="00F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вляется с помощью анкетирования на сайте в специальном разделе </w:t>
      </w:r>
      <w:hyperlink r:id="rId7" w:history="1">
        <w:r w:rsidRPr="00F46BE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https://obr.belregion.ru/sbor-obratnoj-svyazi/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3305" w:rsidRDefault="00A355CA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33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33305">
        <w:rPr>
          <w:rFonts w:ascii="Times New Roman" w:eastAsia="Times New Roman" w:hAnsi="Times New Roman" w:cs="Times New Roman"/>
          <w:color w:val="000000"/>
          <w:sz w:val="24"/>
          <w:szCs w:val="24"/>
        </w:rPr>
        <w:t>. В анкет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533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предусмотрены отдельные пункты, оценивающие субъективный результат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услуг, </w:t>
      </w:r>
      <w:r w:rsidR="00533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с отзывами и предложениями о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министерства </w:t>
      </w:r>
      <w:r w:rsidR="0053330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целом.</w:t>
      </w:r>
    </w:p>
    <w:p w:rsidR="00A355CA" w:rsidRDefault="00A355CA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33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33305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Лицо, отвечающее за соблюдение порядка по обращению граждан, принимает заполненные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нкеты, составляет сводный отчет.</w:t>
      </w:r>
    </w:p>
    <w:p w:rsidR="00A66683" w:rsidRDefault="00A66683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683" w:rsidRDefault="00A66683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683" w:rsidRDefault="00A66683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683" w:rsidRDefault="00A66683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683" w:rsidRDefault="00A66683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683" w:rsidRDefault="00A66683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683" w:rsidRDefault="00A66683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9BA" w:rsidRDefault="00B409BA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9BA" w:rsidRDefault="00B409BA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9BA" w:rsidRDefault="00B409BA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9BA" w:rsidRDefault="00B409BA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9BA" w:rsidRDefault="00B409BA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9BA" w:rsidRDefault="00B409BA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9BA" w:rsidRDefault="00B409BA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9BA" w:rsidRDefault="00B409BA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548" w:rsidRDefault="00864548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548" w:rsidRDefault="00864548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DCE" w:rsidRPr="00E57DCE" w:rsidRDefault="00E57DCE" w:rsidP="00E57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1.</w:t>
      </w:r>
    </w:p>
    <w:p w:rsidR="003D4676" w:rsidRPr="003D4676" w:rsidRDefault="003D4676" w:rsidP="003D4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4676" w:rsidRPr="00020389" w:rsidRDefault="00496F6F" w:rsidP="00020389">
      <w:pPr>
        <w:pStyle w:val="a6"/>
        <w:rPr>
          <w:rFonts w:ascii="Times New Roman" w:hAnsi="Times New Roman" w:cs="Times New Roman"/>
          <w:sz w:val="24"/>
          <w:szCs w:val="24"/>
        </w:rPr>
      </w:pPr>
      <w:r w:rsidRPr="00020389">
        <w:rPr>
          <w:rFonts w:ascii="Times New Roman" w:hAnsi="Times New Roman" w:cs="Times New Roman"/>
          <w:sz w:val="24"/>
          <w:szCs w:val="24"/>
        </w:rPr>
        <w:t>Журнал регистрации и учета обращений</w:t>
      </w:r>
    </w:p>
    <w:tbl>
      <w:tblPr>
        <w:tblStyle w:val="a3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17"/>
        <w:gridCol w:w="1143"/>
        <w:gridCol w:w="1559"/>
        <w:gridCol w:w="1271"/>
        <w:gridCol w:w="1741"/>
        <w:gridCol w:w="1758"/>
        <w:gridCol w:w="1360"/>
        <w:gridCol w:w="1165"/>
        <w:gridCol w:w="1210"/>
      </w:tblGrid>
      <w:tr w:rsidR="00020389" w:rsidTr="00A66683">
        <w:tc>
          <w:tcPr>
            <w:tcW w:w="417" w:type="dxa"/>
          </w:tcPr>
          <w:p w:rsidR="00020389" w:rsidRDefault="00020389"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43" w:type="dxa"/>
          </w:tcPr>
          <w:p w:rsidR="00020389" w:rsidRDefault="00020389"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обращения, дата и номер регистрации</w:t>
            </w:r>
          </w:p>
        </w:tc>
        <w:tc>
          <w:tcPr>
            <w:tcW w:w="1559" w:type="dxa"/>
          </w:tcPr>
          <w:p w:rsidR="00020389" w:rsidRDefault="00020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, адрес, телефон обратившегося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020389" w:rsidRDefault="00020389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организации, направившей обращение</w:t>
            </w:r>
          </w:p>
        </w:tc>
        <w:tc>
          <w:tcPr>
            <w:tcW w:w="1271" w:type="dxa"/>
          </w:tcPr>
          <w:p w:rsidR="00020389" w:rsidRDefault="00020389"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741" w:type="dxa"/>
          </w:tcPr>
          <w:p w:rsidR="00020389" w:rsidRDefault="00020389"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Классификация: жалоба, заявление, обращение, благодарность</w:t>
            </w:r>
          </w:p>
        </w:tc>
        <w:tc>
          <w:tcPr>
            <w:tcW w:w="1758" w:type="dxa"/>
          </w:tcPr>
          <w:p w:rsidR="00020389" w:rsidRDefault="00020389" w:rsidP="00A355CA"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нарушения </w:t>
            </w:r>
            <w:r w:rsidRPr="0002038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2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качество, доступность, своевременность оказания</w:t>
            </w:r>
            <w:r w:rsidR="00A355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услуги</w:t>
            </w:r>
            <w:r w:rsidRPr="0002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качество сервиса и обслуживания</w:t>
            </w:r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, др.)</w:t>
            </w:r>
          </w:p>
        </w:tc>
        <w:tc>
          <w:tcPr>
            <w:tcW w:w="1360" w:type="dxa"/>
          </w:tcPr>
          <w:p w:rsidR="00020389" w:rsidRDefault="00020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20389" w:rsidRDefault="00020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(обосновано, </w:t>
            </w:r>
          </w:p>
          <w:p w:rsidR="00020389" w:rsidRDefault="00020389"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не обосновано, частично обосновано)</w:t>
            </w:r>
          </w:p>
        </w:tc>
        <w:tc>
          <w:tcPr>
            <w:tcW w:w="1165" w:type="dxa"/>
          </w:tcPr>
          <w:p w:rsidR="00020389" w:rsidRDefault="00020389">
            <w:r w:rsidRPr="00496F6F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меры</w:t>
            </w:r>
          </w:p>
        </w:tc>
        <w:tc>
          <w:tcPr>
            <w:tcW w:w="1210" w:type="dxa"/>
          </w:tcPr>
          <w:p w:rsidR="00020389" w:rsidRPr="00496F6F" w:rsidRDefault="00020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 регистрации ответа на обращение</w:t>
            </w:r>
          </w:p>
        </w:tc>
      </w:tr>
      <w:tr w:rsidR="00020389" w:rsidTr="00A66683">
        <w:tc>
          <w:tcPr>
            <w:tcW w:w="417" w:type="dxa"/>
          </w:tcPr>
          <w:p w:rsidR="00020389" w:rsidRDefault="00020389"/>
        </w:tc>
        <w:tc>
          <w:tcPr>
            <w:tcW w:w="1143" w:type="dxa"/>
          </w:tcPr>
          <w:p w:rsidR="00020389" w:rsidRDefault="00020389"/>
        </w:tc>
        <w:tc>
          <w:tcPr>
            <w:tcW w:w="1559" w:type="dxa"/>
          </w:tcPr>
          <w:p w:rsidR="00020389" w:rsidRDefault="00020389"/>
        </w:tc>
        <w:tc>
          <w:tcPr>
            <w:tcW w:w="1271" w:type="dxa"/>
          </w:tcPr>
          <w:p w:rsidR="00020389" w:rsidRDefault="00020389"/>
        </w:tc>
        <w:tc>
          <w:tcPr>
            <w:tcW w:w="1741" w:type="dxa"/>
          </w:tcPr>
          <w:p w:rsidR="00020389" w:rsidRDefault="00020389"/>
        </w:tc>
        <w:tc>
          <w:tcPr>
            <w:tcW w:w="1758" w:type="dxa"/>
          </w:tcPr>
          <w:p w:rsidR="00020389" w:rsidRDefault="00020389"/>
        </w:tc>
        <w:tc>
          <w:tcPr>
            <w:tcW w:w="1360" w:type="dxa"/>
          </w:tcPr>
          <w:p w:rsidR="00020389" w:rsidRDefault="00020389"/>
        </w:tc>
        <w:tc>
          <w:tcPr>
            <w:tcW w:w="1165" w:type="dxa"/>
          </w:tcPr>
          <w:p w:rsidR="00020389" w:rsidRDefault="00020389"/>
        </w:tc>
        <w:tc>
          <w:tcPr>
            <w:tcW w:w="1210" w:type="dxa"/>
          </w:tcPr>
          <w:p w:rsidR="00020389" w:rsidRDefault="00020389"/>
        </w:tc>
      </w:tr>
      <w:tr w:rsidR="00020389" w:rsidTr="00A66683">
        <w:tc>
          <w:tcPr>
            <w:tcW w:w="417" w:type="dxa"/>
          </w:tcPr>
          <w:p w:rsidR="00020389" w:rsidRDefault="00020389"/>
        </w:tc>
        <w:tc>
          <w:tcPr>
            <w:tcW w:w="1143" w:type="dxa"/>
          </w:tcPr>
          <w:p w:rsidR="00020389" w:rsidRDefault="00020389"/>
        </w:tc>
        <w:tc>
          <w:tcPr>
            <w:tcW w:w="1559" w:type="dxa"/>
          </w:tcPr>
          <w:p w:rsidR="00020389" w:rsidRDefault="00020389"/>
        </w:tc>
        <w:tc>
          <w:tcPr>
            <w:tcW w:w="1271" w:type="dxa"/>
          </w:tcPr>
          <w:p w:rsidR="00020389" w:rsidRDefault="00020389"/>
        </w:tc>
        <w:tc>
          <w:tcPr>
            <w:tcW w:w="1741" w:type="dxa"/>
          </w:tcPr>
          <w:p w:rsidR="00020389" w:rsidRDefault="00020389"/>
        </w:tc>
        <w:tc>
          <w:tcPr>
            <w:tcW w:w="1758" w:type="dxa"/>
          </w:tcPr>
          <w:p w:rsidR="00020389" w:rsidRDefault="00020389"/>
        </w:tc>
        <w:tc>
          <w:tcPr>
            <w:tcW w:w="1360" w:type="dxa"/>
          </w:tcPr>
          <w:p w:rsidR="00020389" w:rsidRDefault="00020389"/>
        </w:tc>
        <w:tc>
          <w:tcPr>
            <w:tcW w:w="1165" w:type="dxa"/>
          </w:tcPr>
          <w:p w:rsidR="00020389" w:rsidRDefault="00020389"/>
        </w:tc>
        <w:tc>
          <w:tcPr>
            <w:tcW w:w="1210" w:type="dxa"/>
          </w:tcPr>
          <w:p w:rsidR="00020389" w:rsidRDefault="00020389"/>
        </w:tc>
      </w:tr>
      <w:tr w:rsidR="00020389" w:rsidTr="00A66683">
        <w:tc>
          <w:tcPr>
            <w:tcW w:w="417" w:type="dxa"/>
          </w:tcPr>
          <w:p w:rsidR="00020389" w:rsidRDefault="00020389"/>
        </w:tc>
        <w:tc>
          <w:tcPr>
            <w:tcW w:w="1143" w:type="dxa"/>
          </w:tcPr>
          <w:p w:rsidR="00020389" w:rsidRDefault="00020389"/>
        </w:tc>
        <w:tc>
          <w:tcPr>
            <w:tcW w:w="1559" w:type="dxa"/>
          </w:tcPr>
          <w:p w:rsidR="00020389" w:rsidRDefault="00020389"/>
        </w:tc>
        <w:tc>
          <w:tcPr>
            <w:tcW w:w="1271" w:type="dxa"/>
          </w:tcPr>
          <w:p w:rsidR="00020389" w:rsidRDefault="00020389"/>
        </w:tc>
        <w:tc>
          <w:tcPr>
            <w:tcW w:w="1741" w:type="dxa"/>
          </w:tcPr>
          <w:p w:rsidR="00020389" w:rsidRDefault="00020389"/>
        </w:tc>
        <w:tc>
          <w:tcPr>
            <w:tcW w:w="1758" w:type="dxa"/>
          </w:tcPr>
          <w:p w:rsidR="00020389" w:rsidRDefault="00020389"/>
        </w:tc>
        <w:tc>
          <w:tcPr>
            <w:tcW w:w="1360" w:type="dxa"/>
          </w:tcPr>
          <w:p w:rsidR="00020389" w:rsidRDefault="00020389"/>
        </w:tc>
        <w:tc>
          <w:tcPr>
            <w:tcW w:w="1165" w:type="dxa"/>
          </w:tcPr>
          <w:p w:rsidR="00020389" w:rsidRDefault="00020389"/>
        </w:tc>
        <w:tc>
          <w:tcPr>
            <w:tcW w:w="1210" w:type="dxa"/>
          </w:tcPr>
          <w:p w:rsidR="00020389" w:rsidRDefault="00020389"/>
        </w:tc>
      </w:tr>
    </w:tbl>
    <w:p w:rsidR="00E47F15" w:rsidRDefault="00E47F15"/>
    <w:sectPr w:rsidR="00E47F15" w:rsidSect="00B409BA">
      <w:pgSz w:w="11907" w:h="16839"/>
      <w:pgMar w:top="1134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5100C"/>
    <w:multiLevelType w:val="multilevel"/>
    <w:tmpl w:val="B4D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9390D"/>
    <w:multiLevelType w:val="multilevel"/>
    <w:tmpl w:val="EF5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60DD5"/>
    <w:multiLevelType w:val="hybridMultilevel"/>
    <w:tmpl w:val="96A4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73A0"/>
    <w:multiLevelType w:val="multilevel"/>
    <w:tmpl w:val="3C6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F7E30"/>
    <w:multiLevelType w:val="hybridMultilevel"/>
    <w:tmpl w:val="A2F876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8357804"/>
    <w:multiLevelType w:val="hybridMultilevel"/>
    <w:tmpl w:val="2C2C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D1211"/>
    <w:multiLevelType w:val="hybridMultilevel"/>
    <w:tmpl w:val="6E7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F4066"/>
    <w:multiLevelType w:val="multilevel"/>
    <w:tmpl w:val="6FD0E2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C4B62"/>
    <w:multiLevelType w:val="multilevel"/>
    <w:tmpl w:val="8B5E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48"/>
    <w:rsid w:val="00020389"/>
    <w:rsid w:val="00023356"/>
    <w:rsid w:val="00076589"/>
    <w:rsid w:val="000D0EEF"/>
    <w:rsid w:val="000E2534"/>
    <w:rsid w:val="00130373"/>
    <w:rsid w:val="00144CF0"/>
    <w:rsid w:val="00154EFD"/>
    <w:rsid w:val="00174736"/>
    <w:rsid w:val="00232FCD"/>
    <w:rsid w:val="0024129A"/>
    <w:rsid w:val="00250438"/>
    <w:rsid w:val="002B02BC"/>
    <w:rsid w:val="002B4FDF"/>
    <w:rsid w:val="002D61A2"/>
    <w:rsid w:val="002E54E6"/>
    <w:rsid w:val="00312250"/>
    <w:rsid w:val="00367527"/>
    <w:rsid w:val="00387E23"/>
    <w:rsid w:val="003D4676"/>
    <w:rsid w:val="00401324"/>
    <w:rsid w:val="00414309"/>
    <w:rsid w:val="00496F6F"/>
    <w:rsid w:val="004A18C1"/>
    <w:rsid w:val="004F7E36"/>
    <w:rsid w:val="00500872"/>
    <w:rsid w:val="00515EC5"/>
    <w:rsid w:val="00533305"/>
    <w:rsid w:val="00596C77"/>
    <w:rsid w:val="005A3545"/>
    <w:rsid w:val="005E6927"/>
    <w:rsid w:val="00630D90"/>
    <w:rsid w:val="0064284A"/>
    <w:rsid w:val="00652258"/>
    <w:rsid w:val="006E7C83"/>
    <w:rsid w:val="00700E42"/>
    <w:rsid w:val="00731F8D"/>
    <w:rsid w:val="00772F2A"/>
    <w:rsid w:val="007864BC"/>
    <w:rsid w:val="0080740A"/>
    <w:rsid w:val="008260A5"/>
    <w:rsid w:val="00836379"/>
    <w:rsid w:val="00864548"/>
    <w:rsid w:val="009D2335"/>
    <w:rsid w:val="009D5812"/>
    <w:rsid w:val="00A355CA"/>
    <w:rsid w:val="00A412CA"/>
    <w:rsid w:val="00A4684F"/>
    <w:rsid w:val="00A530BE"/>
    <w:rsid w:val="00A66683"/>
    <w:rsid w:val="00B22EC6"/>
    <w:rsid w:val="00B409BA"/>
    <w:rsid w:val="00B419AD"/>
    <w:rsid w:val="00B80B1A"/>
    <w:rsid w:val="00B978EB"/>
    <w:rsid w:val="00C10B94"/>
    <w:rsid w:val="00C34EDB"/>
    <w:rsid w:val="00C53CE8"/>
    <w:rsid w:val="00C60747"/>
    <w:rsid w:val="00C61ADF"/>
    <w:rsid w:val="00CA0B0C"/>
    <w:rsid w:val="00CB47A5"/>
    <w:rsid w:val="00D50FA0"/>
    <w:rsid w:val="00D5287A"/>
    <w:rsid w:val="00E47F15"/>
    <w:rsid w:val="00E52AE1"/>
    <w:rsid w:val="00E57DCE"/>
    <w:rsid w:val="00E83319"/>
    <w:rsid w:val="00EE1440"/>
    <w:rsid w:val="00EF1C7C"/>
    <w:rsid w:val="00F22A2B"/>
    <w:rsid w:val="00F32D7A"/>
    <w:rsid w:val="00F91FBB"/>
    <w:rsid w:val="00FD10B8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BC4EC-0C8A-433C-A98D-80A605EE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4676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9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6927"/>
    <w:rPr>
      <w:color w:val="0563C1" w:themeColor="hyperlink"/>
      <w:u w:val="single"/>
    </w:rPr>
  </w:style>
  <w:style w:type="table" w:customStyle="1" w:styleId="10">
    <w:name w:val="Стиль1"/>
    <w:basedOn w:val="a1"/>
    <w:uiPriority w:val="99"/>
    <w:rsid w:val="00496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6">
    <w:name w:val="Title"/>
    <w:basedOn w:val="a"/>
    <w:next w:val="a"/>
    <w:link w:val="a7"/>
    <w:uiPriority w:val="10"/>
    <w:qFormat/>
    <w:rsid w:val="00496F6F"/>
    <w:pPr>
      <w:spacing w:before="360" w:after="360" w:line="240" w:lineRule="auto"/>
      <w:jc w:val="center"/>
    </w:pPr>
    <w:rPr>
      <w:b/>
      <w:sz w:val="21"/>
    </w:rPr>
  </w:style>
  <w:style w:type="character" w:customStyle="1" w:styleId="a7">
    <w:name w:val="Название Знак"/>
    <w:basedOn w:val="a0"/>
    <w:link w:val="a6"/>
    <w:uiPriority w:val="10"/>
    <w:rsid w:val="00496F6F"/>
    <w:rPr>
      <w:b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3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1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.belregion.ru/sbor-obratnoj-svyaz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uno@belregion.ru" TargetMode="External"/><Relationship Id="rId5" Type="http://schemas.openxmlformats.org/officeDocument/2006/relationships/hyperlink" Target="https://obr.belregion.ru/dokumenty/informacionnye-materialy/?rb=14&amp;rb=14&amp;rb=28&amp;order=creation_date_des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13726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</dc:creator>
  <cp:keywords/>
  <dc:description/>
  <cp:lastModifiedBy>Проскурина Тамара Леонидовна</cp:lastModifiedBy>
  <cp:revision>27</cp:revision>
  <cp:lastPrinted>2023-10-03T11:59:00Z</cp:lastPrinted>
  <dcterms:created xsi:type="dcterms:W3CDTF">2023-06-09T13:42:00Z</dcterms:created>
  <dcterms:modified xsi:type="dcterms:W3CDTF">2025-08-05T10:08:00Z</dcterms:modified>
</cp:coreProperties>
</file>